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4BEF" w14:textId="1AB628EF" w:rsidR="006E3DE6" w:rsidRDefault="006E3DE6" w:rsidP="006E3DE6">
      <w:r>
        <w:t>Gacetilla 08</w:t>
      </w:r>
      <w:r w:rsidR="004F5E57">
        <w:t>1</w:t>
      </w:r>
      <w:r>
        <w:t>-22 de agosto de 2022</w:t>
      </w:r>
    </w:p>
    <w:p w14:paraId="594D22B4" w14:textId="490C0FA8" w:rsidR="00DA4F1D" w:rsidRPr="00DA4F1D" w:rsidRDefault="00DA4F1D" w:rsidP="006E3DE6">
      <w:pPr>
        <w:rPr>
          <w:b/>
          <w:bCs/>
        </w:rPr>
      </w:pPr>
      <w:r w:rsidRPr="00DA4F1D">
        <w:rPr>
          <w:b/>
          <w:bCs/>
        </w:rPr>
        <w:t>La Federación acompañó el fortalecimiento de los periurbanos y visitó Mercados Concentradores</w:t>
      </w:r>
    </w:p>
    <w:p w14:paraId="59A30A1A" w14:textId="77777777" w:rsidR="00DA4F1D" w:rsidRDefault="00DA4F1D" w:rsidP="00DA4F1D">
      <w:r>
        <w:t>En la tarde del miércoles 17 de agosto tuvo lugar una reunión donde se rubricó un convenio para el desarrollo de los sistemas periurbanos en la provincia de Santiago del Estero</w:t>
      </w:r>
      <w:bookmarkStart w:id="0" w:name="_Hlk112057086"/>
      <w:r>
        <w:t xml:space="preserve">. El acuerdo establece relaciones de cooperación entre el Ministerio de Producción provincial, la Facultad de Agronomía de la Universidad Nacional de Santiago del Estero, el Mercado COMECO y el Servicio Nacional de Sanidad y Calidad Agroalimentaria (SENASA). </w:t>
      </w:r>
    </w:p>
    <w:p w14:paraId="5EC75EA9" w14:textId="77777777" w:rsidR="00DA4F1D" w:rsidRDefault="00DA4F1D" w:rsidP="00DA4F1D">
      <w:r>
        <w:t xml:space="preserve">La Federación Nacional de Mercados Frutihortícolas (FENAOMFRA) estuvo representada por su presidente, Carlos </w:t>
      </w:r>
      <w:proofErr w:type="spellStart"/>
      <w:r>
        <w:t>Otrino</w:t>
      </w:r>
      <w:proofErr w:type="spellEnd"/>
      <w:r>
        <w:t xml:space="preserve">, y Eduardo Flores, vicepresidente segundo de la Federación y presidente del Mercado COMECO de Santiago del Estero. También participaron Darío Berta, presidente del Mercado Concentrador El Charrúa de Paraná, Pablo </w:t>
      </w:r>
      <w:proofErr w:type="spellStart"/>
      <w:r>
        <w:t>Sceglio</w:t>
      </w:r>
      <w:proofErr w:type="spellEnd"/>
      <w:r>
        <w:t xml:space="preserve"> y Gabriel Amura por SENASA. </w:t>
      </w:r>
    </w:p>
    <w:bookmarkEnd w:id="0"/>
    <w:p w14:paraId="218763B8" w14:textId="77777777" w:rsidR="00DA4F1D" w:rsidRDefault="00DA4F1D" w:rsidP="00DA4F1D">
      <w:r>
        <w:t xml:space="preserve">En este sentido, </w:t>
      </w:r>
      <w:bookmarkStart w:id="1" w:name="_Hlk112057276"/>
      <w:r>
        <w:t xml:space="preserve">la cartera productiva de Santiago del Estero anunció que pondrá a disposición hectáreas para desarrollar huertas periurbanas, que contribuyan a incrementar la cantidad de tierras dedicadas a la producción hortícola en la región. El vicepresidente segundo de la Federación apuntó que “se juntaron las partes y se combinaron esfuerzos para generar un cinturón verde periurbano, que pueda dar respuesta a algunas necesidades del Mercado Concentrador”. </w:t>
      </w:r>
    </w:p>
    <w:bookmarkEnd w:id="1"/>
    <w:p w14:paraId="62095A04" w14:textId="77777777" w:rsidR="00DA4F1D" w:rsidRDefault="00DA4F1D" w:rsidP="00DA4F1D">
      <w:r>
        <w:t xml:space="preserve">“Es una idea que hay que ir trabajando, que lleva su tiempo. Requiere seguir formando gente, pero la universidad y el ministerio se mostraron prestos a colaborar. Desde SENASA también se mostraron a disposición de ayudar en todo lo que de ellos depende”, agregó Flores. </w:t>
      </w:r>
    </w:p>
    <w:p w14:paraId="1BCF32EE" w14:textId="77777777" w:rsidR="00DA4F1D" w:rsidRDefault="00DA4F1D" w:rsidP="00DA4F1D">
      <w:r>
        <w:t xml:space="preserve">Durante la reunión, Flores también anunció el acuerdo entre </w:t>
      </w:r>
      <w:proofErr w:type="spellStart"/>
      <w:r>
        <w:t>Fenaomfra</w:t>
      </w:r>
      <w:proofErr w:type="spellEnd"/>
      <w:r>
        <w:t xml:space="preserve"> y </w:t>
      </w:r>
      <w:r w:rsidRPr="0047019A">
        <w:t xml:space="preserve">la Comisión Frutihortícola de la Federación Argentina de Ingeniería Agronómica (FADIA) </w:t>
      </w:r>
      <w:r>
        <w:t xml:space="preserve">para la implementación conjunta de Buenas Prácticas Agrícolas (BPA) en frutas y hortalizas, noticia que generó comentarios positivos. </w:t>
      </w:r>
    </w:p>
    <w:p w14:paraId="76E1A861" w14:textId="3466A40B" w:rsidR="00DA4F1D" w:rsidRDefault="00DA4F1D" w:rsidP="00DA4F1D">
      <w:bookmarkStart w:id="2" w:name="_Hlk112057336"/>
      <w:r>
        <w:t xml:space="preserve">Al final del encuentro se anunció la visita de SENASA al </w:t>
      </w:r>
      <w:proofErr w:type="spellStart"/>
      <w:r>
        <w:t>Mercofrut</w:t>
      </w:r>
      <w:proofErr w:type="spellEnd"/>
      <w:r>
        <w:t xml:space="preserve"> de Tucumán y el Mercado Municipal de Abasto de Catamarca. Ambas actividades tuvieron lugar el jueves 18. </w:t>
      </w:r>
    </w:p>
    <w:p w14:paraId="4A057BDC" w14:textId="77777777" w:rsidR="00DA4F1D" w:rsidRDefault="00DA4F1D" w:rsidP="00DA4F1D">
      <w:r>
        <w:t xml:space="preserve">En Tucumán, miembros de la Federación y SENASA visitaron las instalaciones de </w:t>
      </w:r>
      <w:proofErr w:type="spellStart"/>
      <w:r>
        <w:t>Mercofrut</w:t>
      </w:r>
      <w:proofErr w:type="spellEnd"/>
      <w:r>
        <w:t xml:space="preserve">, concentrador ubicado en la capital provincial. Flores relató que fueron recibidos por Fernando </w:t>
      </w:r>
      <w:proofErr w:type="spellStart"/>
      <w:r>
        <w:t>Salch</w:t>
      </w:r>
      <w:proofErr w:type="spellEnd"/>
      <w:r>
        <w:t xml:space="preserve"> </w:t>
      </w:r>
      <w:proofErr w:type="spellStart"/>
      <w:r>
        <w:t>Giudice</w:t>
      </w:r>
      <w:proofErr w:type="spellEnd"/>
      <w:r>
        <w:t xml:space="preserve">, vocal 1° de la Comisión Fiscalizadora de FENAOMFRA. Tras la reunión se dirimió solventar falencias del Mercado Concentrador en materia de inscripciones, un requisito fundamental para establecer relaciones cooperativas con SENASA. </w:t>
      </w:r>
    </w:p>
    <w:p w14:paraId="4F6D930B" w14:textId="77777777" w:rsidR="00DA4F1D" w:rsidRDefault="00DA4F1D" w:rsidP="00DA4F1D">
      <w:r>
        <w:t xml:space="preserve">Flores explicó que la jornada coincidió con una reunión de la comisión directiva del </w:t>
      </w:r>
      <w:proofErr w:type="spellStart"/>
      <w:r>
        <w:t>Mercofrut</w:t>
      </w:r>
      <w:proofErr w:type="spellEnd"/>
      <w:r>
        <w:t xml:space="preserve">, por lo que también se tocaron temas ligados a la vida institucional y la relación con mercados de la zona. </w:t>
      </w:r>
    </w:p>
    <w:p w14:paraId="39AEEAF5" w14:textId="3CC0195F" w:rsidR="00DA4F1D" w:rsidRDefault="00DA4F1D" w:rsidP="00DA4F1D">
      <w:r>
        <w:t xml:space="preserve">Luego del mediodía, los dirigentes siguieron rumbo hacia Catamarca, donde llevaron a cabo acciones similares con el Mercado Concentrador de esa provincia. </w:t>
      </w:r>
    </w:p>
    <w:p w14:paraId="309A226F" w14:textId="76307FCE" w:rsidR="000927F2" w:rsidRDefault="000927F2" w:rsidP="000927F2">
      <w:pPr>
        <w:jc w:val="center"/>
      </w:pPr>
      <w:r>
        <w:rPr>
          <w:noProof/>
        </w:rPr>
        <w:lastRenderedPageBreak/>
        <w:drawing>
          <wp:inline distT="0" distB="0" distL="0" distR="0" wp14:anchorId="1CAD1FF1" wp14:editId="29DA989B">
            <wp:extent cx="5648325" cy="3810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78A8" w14:textId="77777777" w:rsidR="000927F2" w:rsidRDefault="000927F2" w:rsidP="000927F2">
      <w:pPr>
        <w:jc w:val="center"/>
        <w:rPr>
          <w:noProof/>
        </w:rPr>
      </w:pPr>
    </w:p>
    <w:p w14:paraId="3DA3FC0B" w14:textId="46B35764" w:rsidR="000927F2" w:rsidRDefault="000927F2" w:rsidP="000927F2">
      <w:pPr>
        <w:jc w:val="center"/>
      </w:pPr>
      <w:r>
        <w:rPr>
          <w:noProof/>
        </w:rPr>
        <w:drawing>
          <wp:inline distT="0" distB="0" distL="0" distR="0" wp14:anchorId="2A342489" wp14:editId="45E3940C">
            <wp:extent cx="5667375" cy="35242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t="3395" r="2322"/>
                    <a:stretch/>
                  </pic:blipFill>
                  <pic:spPr bwMode="auto">
                    <a:xfrm>
                      <a:off x="0" y="0"/>
                      <a:ext cx="5667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28F437F7" w14:textId="77777777" w:rsidR="002F61AF" w:rsidRPr="001C291A" w:rsidRDefault="002F61AF" w:rsidP="0089740A">
      <w:pPr>
        <w:spacing w:after="0" w:line="240" w:lineRule="auto"/>
        <w:ind w:left="567" w:firstLine="708"/>
        <w:jc w:val="center"/>
        <w:rPr>
          <w:rFonts w:cs="Arial"/>
          <w:color w:val="666666"/>
          <w:sz w:val="16"/>
          <w:szCs w:val="20"/>
          <w:lang w:val="es-MX"/>
        </w:rPr>
      </w:pPr>
    </w:p>
    <w:sectPr w:rsidR="002F61AF" w:rsidRPr="001C291A" w:rsidSect="009D0F9E">
      <w:headerReference w:type="default" r:id="rId9"/>
      <w:footerReference w:type="default" r:id="rId10"/>
      <w:pgSz w:w="11906" w:h="16838"/>
      <w:pgMar w:top="91" w:right="991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2073" w14:textId="77777777" w:rsidR="004F3922" w:rsidRDefault="004F3922" w:rsidP="002F61AF">
      <w:pPr>
        <w:spacing w:after="0" w:line="240" w:lineRule="auto"/>
      </w:pPr>
      <w:r>
        <w:separator/>
      </w:r>
    </w:p>
  </w:endnote>
  <w:endnote w:type="continuationSeparator" w:id="0">
    <w:p w14:paraId="18B739CF" w14:textId="77777777" w:rsidR="004F3922" w:rsidRDefault="004F3922" w:rsidP="002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24" w14:textId="4B6C3294" w:rsidR="00BF1681" w:rsidRDefault="004C2831" w:rsidP="00D30D63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81D25E" wp14:editId="1A5AB35C">
          <wp:simplePos x="0" y="0"/>
          <wp:positionH relativeFrom="column">
            <wp:posOffset>1069340</wp:posOffset>
          </wp:positionH>
          <wp:positionV relativeFrom="paragraph">
            <wp:posOffset>205852</wp:posOffset>
          </wp:positionV>
          <wp:extent cx="572161" cy="40026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7" t="27351" r="31334" b="44800"/>
                  <a:stretch/>
                </pic:blipFill>
                <pic:spPr bwMode="auto">
                  <a:xfrm>
                    <a:off x="0" y="0"/>
                    <a:ext cx="572161" cy="400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0928E4CD" wp14:editId="74ACF471">
          <wp:simplePos x="0" y="0"/>
          <wp:positionH relativeFrom="column">
            <wp:posOffset>-2602523</wp:posOffset>
          </wp:positionH>
          <wp:positionV relativeFrom="paragraph">
            <wp:posOffset>-259589</wp:posOffset>
          </wp:positionV>
          <wp:extent cx="3420207" cy="342020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B59874B" wp14:editId="10A1FE86">
          <wp:simplePos x="0" y="0"/>
          <wp:positionH relativeFrom="column">
            <wp:posOffset>5064369</wp:posOffset>
          </wp:positionH>
          <wp:positionV relativeFrom="paragraph">
            <wp:posOffset>-179203</wp:posOffset>
          </wp:positionV>
          <wp:extent cx="3420207" cy="342020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87839" w14:textId="50918723" w:rsidR="002F61AF" w:rsidRPr="002F61AF" w:rsidRDefault="000927F2" w:rsidP="002F61AF">
    <w:pPr>
      <w:pStyle w:val="Piedepgina"/>
      <w:jc w:val="center"/>
    </w:pPr>
    <w:hyperlink r:id="rId3" w:history="1">
      <w:r w:rsidR="002F61AF" w:rsidRPr="001C291A">
        <w:rPr>
          <w:rStyle w:val="Hipervnculo"/>
          <w:color w:val="auto"/>
          <w:u w:val="none"/>
        </w:rPr>
        <w:t>www.FENAOMFRA.org.ar</w:t>
      </w:r>
    </w:hyperlink>
    <w:r w:rsidR="005D2BD6" w:rsidRPr="001C291A">
      <w:t xml:space="preserve"> </w:t>
    </w:r>
    <w:r w:rsidR="001F6488" w:rsidRPr="001C291A">
      <w:t>-</w:t>
    </w:r>
    <w:r w:rsidR="005D2BD6" w:rsidRPr="001C291A">
      <w:t xml:space="preserve"> info@fenaomfra.org.ar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E88" w14:textId="77777777" w:rsidR="004F3922" w:rsidRDefault="004F3922" w:rsidP="002F61AF">
      <w:pPr>
        <w:spacing w:after="0" w:line="240" w:lineRule="auto"/>
      </w:pPr>
      <w:r>
        <w:separator/>
      </w:r>
    </w:p>
  </w:footnote>
  <w:footnote w:type="continuationSeparator" w:id="0">
    <w:p w14:paraId="5E5FF428" w14:textId="77777777" w:rsidR="004F3922" w:rsidRDefault="004F3922" w:rsidP="002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BF35" w14:textId="21589488" w:rsidR="00BF1681" w:rsidRDefault="00D30D63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01F794F" wp14:editId="61510CDF">
          <wp:simplePos x="0" y="0"/>
          <wp:positionH relativeFrom="column">
            <wp:posOffset>5006340</wp:posOffset>
          </wp:positionH>
          <wp:positionV relativeFrom="paragraph">
            <wp:posOffset>-1205230</wp:posOffset>
          </wp:positionV>
          <wp:extent cx="3420207" cy="34202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1A6A14A" wp14:editId="1D46FBCE">
          <wp:simplePos x="0" y="0"/>
          <wp:positionH relativeFrom="column">
            <wp:posOffset>-18170</wp:posOffset>
          </wp:positionH>
          <wp:positionV relativeFrom="paragraph">
            <wp:posOffset>-2175412</wp:posOffset>
          </wp:positionV>
          <wp:extent cx="3420207" cy="34202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4E2F03" wp14:editId="535A7150">
          <wp:simplePos x="0" y="0"/>
          <wp:positionH relativeFrom="column">
            <wp:posOffset>-2593535</wp:posOffset>
          </wp:positionH>
          <wp:positionV relativeFrom="paragraph">
            <wp:posOffset>-1318602</wp:posOffset>
          </wp:positionV>
          <wp:extent cx="3420207" cy="34202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7365F" w14:textId="50A5BBD3" w:rsidR="00C4135F" w:rsidRDefault="00D30D63" w:rsidP="002F61AF">
    <w:pPr>
      <w:spacing w:after="0" w:line="240" w:lineRule="auto"/>
      <w:ind w:left="5529"/>
      <w:jc w:val="center"/>
      <w:rPr>
        <w:rFonts w:ascii="Futura Bk BT" w:hAnsi="Futura Bk BT" w:cs="Tahoma"/>
        <w:b/>
        <w:bCs/>
        <w:noProof/>
        <w:sz w:val="20"/>
        <w:szCs w:val="20"/>
      </w:rPr>
    </w:pPr>
    <w:r>
      <w:rPr>
        <w:rFonts w:ascii="Futura Bk BT" w:hAnsi="Futura Bk BT" w:cs="Tahoma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3F78C55" wp14:editId="46B6FA79">
          <wp:simplePos x="0" y="0"/>
          <wp:positionH relativeFrom="column">
            <wp:posOffset>2315161</wp:posOffset>
          </wp:positionH>
          <wp:positionV relativeFrom="paragraph">
            <wp:posOffset>74979</wp:posOffset>
          </wp:positionV>
          <wp:extent cx="1798320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4" b="29167"/>
                  <a:stretch/>
                </pic:blipFill>
                <pic:spPr bwMode="auto">
                  <a:xfrm>
                    <a:off x="0" y="0"/>
                    <a:ext cx="179832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110061" w14:textId="1BBE5A99" w:rsidR="00C4135F" w:rsidRDefault="00C4135F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D31301F" w14:textId="6C779569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3A55D84" w14:textId="3C68158E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50EA6AAA" w14:textId="544FF82D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566383BF" w14:textId="5908591B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4A756E19" w14:textId="4C0AD393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 xml:space="preserve">Federación Nacional de </w:t>
    </w:r>
    <w:r w:rsidR="00202D4B"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O</w:t>
    </w: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peradores de</w:t>
    </w:r>
  </w:p>
  <w:p w14:paraId="160D9D4F" w14:textId="77777777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Mercados Frutihortícolas de la República Argentina</w:t>
    </w:r>
  </w:p>
  <w:p w14:paraId="2358AC94" w14:textId="77777777" w:rsidR="002F61AF" w:rsidRPr="00C4135F" w:rsidRDefault="002F61AF">
    <w:pPr>
      <w:pStyle w:val="Encabezado"/>
      <w:rPr>
        <w:rFonts w:ascii="Futura Bk BT" w:hAnsi="Futura Bk BT" w:cs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4"/>
    <w:rsid w:val="00026570"/>
    <w:rsid w:val="000372C8"/>
    <w:rsid w:val="00077B9D"/>
    <w:rsid w:val="00077D9E"/>
    <w:rsid w:val="000927F2"/>
    <w:rsid w:val="000D2B38"/>
    <w:rsid w:val="000E0632"/>
    <w:rsid w:val="00111D12"/>
    <w:rsid w:val="0016693B"/>
    <w:rsid w:val="00192B2A"/>
    <w:rsid w:val="00197CBF"/>
    <w:rsid w:val="001C291A"/>
    <w:rsid w:val="001E4ED5"/>
    <w:rsid w:val="001F6488"/>
    <w:rsid w:val="00202D4B"/>
    <w:rsid w:val="00226A55"/>
    <w:rsid w:val="00242F4F"/>
    <w:rsid w:val="002472E2"/>
    <w:rsid w:val="0024787F"/>
    <w:rsid w:val="00254C11"/>
    <w:rsid w:val="00257788"/>
    <w:rsid w:val="002807BE"/>
    <w:rsid w:val="00283E66"/>
    <w:rsid w:val="00292102"/>
    <w:rsid w:val="00296031"/>
    <w:rsid w:val="002F61AF"/>
    <w:rsid w:val="002F6F12"/>
    <w:rsid w:val="00302558"/>
    <w:rsid w:val="003261D4"/>
    <w:rsid w:val="00342251"/>
    <w:rsid w:val="003810AF"/>
    <w:rsid w:val="003E7FC4"/>
    <w:rsid w:val="00432BF0"/>
    <w:rsid w:val="00440DB7"/>
    <w:rsid w:val="004437C6"/>
    <w:rsid w:val="00460C79"/>
    <w:rsid w:val="004626BD"/>
    <w:rsid w:val="004C0712"/>
    <w:rsid w:val="004C2831"/>
    <w:rsid w:val="004F3922"/>
    <w:rsid w:val="004F5E57"/>
    <w:rsid w:val="005469D0"/>
    <w:rsid w:val="0059425C"/>
    <w:rsid w:val="005D2BD6"/>
    <w:rsid w:val="006319F4"/>
    <w:rsid w:val="00692ABC"/>
    <w:rsid w:val="006D30E6"/>
    <w:rsid w:val="006E3DE6"/>
    <w:rsid w:val="00712F34"/>
    <w:rsid w:val="0071777D"/>
    <w:rsid w:val="00736E94"/>
    <w:rsid w:val="007661FE"/>
    <w:rsid w:val="00772D54"/>
    <w:rsid w:val="007B499F"/>
    <w:rsid w:val="007C5E36"/>
    <w:rsid w:val="007C69F7"/>
    <w:rsid w:val="0089740A"/>
    <w:rsid w:val="008D71F4"/>
    <w:rsid w:val="009116F0"/>
    <w:rsid w:val="00965430"/>
    <w:rsid w:val="00974C3B"/>
    <w:rsid w:val="00991E63"/>
    <w:rsid w:val="009960D4"/>
    <w:rsid w:val="009D0F9E"/>
    <w:rsid w:val="00A04C8F"/>
    <w:rsid w:val="00A37E65"/>
    <w:rsid w:val="00A43FE0"/>
    <w:rsid w:val="00AB39E9"/>
    <w:rsid w:val="00AC694A"/>
    <w:rsid w:val="00AC6BDE"/>
    <w:rsid w:val="00B00E26"/>
    <w:rsid w:val="00B34C16"/>
    <w:rsid w:val="00B455AC"/>
    <w:rsid w:val="00B53D1C"/>
    <w:rsid w:val="00B56072"/>
    <w:rsid w:val="00B57BCF"/>
    <w:rsid w:val="00B924C0"/>
    <w:rsid w:val="00B9678E"/>
    <w:rsid w:val="00BF1681"/>
    <w:rsid w:val="00C0051D"/>
    <w:rsid w:val="00C4135F"/>
    <w:rsid w:val="00C47DC5"/>
    <w:rsid w:val="00C831E2"/>
    <w:rsid w:val="00CA047B"/>
    <w:rsid w:val="00CD258C"/>
    <w:rsid w:val="00D23A54"/>
    <w:rsid w:val="00D30D63"/>
    <w:rsid w:val="00D7715B"/>
    <w:rsid w:val="00D96622"/>
    <w:rsid w:val="00DA4F1D"/>
    <w:rsid w:val="00DE4DC3"/>
    <w:rsid w:val="00E2038F"/>
    <w:rsid w:val="00E53317"/>
    <w:rsid w:val="00E7247D"/>
    <w:rsid w:val="00EB3D42"/>
    <w:rsid w:val="00F06FE3"/>
    <w:rsid w:val="00F45586"/>
    <w:rsid w:val="00F6534E"/>
    <w:rsid w:val="00FE3198"/>
    <w:rsid w:val="03D74980"/>
    <w:rsid w:val="0EF6C756"/>
    <w:rsid w:val="10189CE0"/>
    <w:rsid w:val="1DDB26D3"/>
    <w:rsid w:val="4EAB23BD"/>
    <w:rsid w:val="5C5D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F6220E"/>
  <w15:docId w15:val="{D14F762A-08D0-42A1-8BFB-E4F976F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AOMFRA.org.a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C0F2-51F2-4782-99F0-0D4E03F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2020-10-13T19:50:00Z</cp:lastPrinted>
  <dcterms:created xsi:type="dcterms:W3CDTF">2022-05-02T12:38:00Z</dcterms:created>
  <dcterms:modified xsi:type="dcterms:W3CDTF">2022-08-22T17:49:00Z</dcterms:modified>
</cp:coreProperties>
</file>