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3F9F" w14:textId="77777777" w:rsidR="00347ED4" w:rsidRDefault="00347ED4" w:rsidP="00363BC5">
      <w:pPr>
        <w:spacing w:after="135"/>
        <w:rPr>
          <w:rFonts w:ascii="Quattrocento Sans" w:eastAsia="Quattrocento Sans" w:hAnsi="Quattrocento Sans" w:cs="Quattrocento Sans"/>
          <w:i/>
          <w:color w:val="333333"/>
        </w:rPr>
      </w:pPr>
    </w:p>
    <w:p w14:paraId="3E352E6F" w14:textId="77777777" w:rsidR="00347ED4" w:rsidRDefault="00347ED4" w:rsidP="00363BC5">
      <w:pPr>
        <w:spacing w:after="135"/>
        <w:rPr>
          <w:rFonts w:ascii="Quattrocento Sans" w:eastAsia="Quattrocento Sans" w:hAnsi="Quattrocento Sans" w:cs="Quattrocento Sans"/>
          <w:i/>
          <w:color w:val="333333"/>
        </w:rPr>
      </w:pPr>
    </w:p>
    <w:p w14:paraId="30B3CA95" w14:textId="167409B5" w:rsidR="00CF02C9" w:rsidRDefault="00363BC5" w:rsidP="00363BC5">
      <w:pPr>
        <w:spacing w:after="135"/>
        <w:rPr>
          <w:rFonts w:ascii="Quattrocento Sans" w:eastAsia="Quattrocento Sans" w:hAnsi="Quattrocento Sans" w:cs="Quattrocento Sans"/>
          <w:i/>
          <w:color w:val="333333"/>
        </w:rPr>
      </w:pPr>
      <w:r>
        <w:rPr>
          <w:rFonts w:ascii="Quattrocento Sans" w:eastAsia="Quattrocento Sans" w:hAnsi="Quattrocento Sans" w:cs="Quattrocento Sans"/>
          <w:i/>
          <w:color w:val="333333"/>
        </w:rPr>
        <w:t>Gacetilla 07</w:t>
      </w:r>
      <w:r w:rsidR="00052D82">
        <w:rPr>
          <w:rFonts w:ascii="Quattrocento Sans" w:eastAsia="Quattrocento Sans" w:hAnsi="Quattrocento Sans" w:cs="Quattrocento Sans"/>
          <w:i/>
          <w:color w:val="333333"/>
        </w:rPr>
        <w:t>7</w:t>
      </w:r>
    </w:p>
    <w:p w14:paraId="0399F7D1" w14:textId="5507C504" w:rsidR="00052D82" w:rsidRPr="00E91F2D" w:rsidRDefault="00CF02C9" w:rsidP="00052D82">
      <w:pPr>
        <w:rPr>
          <w:b/>
        </w:rPr>
      </w:pPr>
      <w:r>
        <w:rPr>
          <w:b/>
          <w:sz w:val="28"/>
        </w:rPr>
        <w:t xml:space="preserve">De la quinta a tu mesa – cadena de valor de la </w:t>
      </w:r>
      <w:r w:rsidR="00052D82">
        <w:rPr>
          <w:b/>
          <w:sz w:val="28"/>
        </w:rPr>
        <w:t>PERA</w:t>
      </w:r>
    </w:p>
    <w:p w14:paraId="44C4C233" w14:textId="77777777" w:rsidR="00052D82" w:rsidRPr="00052D82" w:rsidRDefault="00052D82" w:rsidP="00052D82">
      <w:pPr>
        <w:spacing w:after="120" w:line="240" w:lineRule="auto"/>
        <w:rPr>
          <w:sz w:val="18"/>
          <w:szCs w:val="18"/>
        </w:rPr>
      </w:pPr>
      <w:r w:rsidRPr="00052D82">
        <w:rPr>
          <w:sz w:val="18"/>
          <w:szCs w:val="18"/>
        </w:rPr>
        <w:t xml:space="preserve">Con el objetivo de brindarle información de calidad a los consumidores argentinos y para que puedan entender con claridad cómo es que se componen los precios de las frutas y las verduras, desde </w:t>
      </w:r>
      <w:proofErr w:type="spellStart"/>
      <w:r w:rsidRPr="00052D82">
        <w:rPr>
          <w:sz w:val="18"/>
          <w:szCs w:val="18"/>
        </w:rPr>
        <w:t>Fenaomfra</w:t>
      </w:r>
      <w:proofErr w:type="spellEnd"/>
      <w:r w:rsidRPr="00052D82">
        <w:rPr>
          <w:sz w:val="18"/>
          <w:szCs w:val="18"/>
        </w:rPr>
        <w:t xml:space="preserve"> realizamos una serie de estudios sobre la cadena de valor de los alimentos. En esta oportunidad, nos ocuparemos de la pera. </w:t>
      </w:r>
    </w:p>
    <w:p w14:paraId="4B5AFDFC" w14:textId="77777777" w:rsidR="00052D82" w:rsidRPr="00052D82" w:rsidRDefault="00052D82" w:rsidP="00052D82">
      <w:pPr>
        <w:spacing w:after="120" w:line="240" w:lineRule="auto"/>
        <w:rPr>
          <w:sz w:val="18"/>
          <w:szCs w:val="18"/>
        </w:rPr>
      </w:pPr>
      <w:r w:rsidRPr="00052D82">
        <w:rPr>
          <w:sz w:val="18"/>
          <w:szCs w:val="18"/>
        </w:rPr>
        <w:t>“De la quinta a tu mesa – cadena de valor de la pera” es un relevamiento de las principales variables que forman el precio de venta al público (PVP) de la fruta para consumo en fresco en Argentina. Entre ellas se encuentran el volumen comercializado en los mercados mayoristas, las zonas productivas de la fruta, la estacionalidad del cultivo, la variedad más relevante y la unidad promedio productiva.</w:t>
      </w:r>
    </w:p>
    <w:p w14:paraId="7CCE961E" w14:textId="77777777" w:rsidR="00052D82" w:rsidRPr="00052D82" w:rsidRDefault="00052D82" w:rsidP="00052D82">
      <w:pPr>
        <w:spacing w:after="120" w:line="240" w:lineRule="auto"/>
        <w:rPr>
          <w:sz w:val="18"/>
          <w:szCs w:val="18"/>
        </w:rPr>
      </w:pPr>
      <w:r w:rsidRPr="00052D82">
        <w:rPr>
          <w:sz w:val="18"/>
          <w:szCs w:val="18"/>
        </w:rPr>
        <w:t xml:space="preserve">También se tuvieron en cuenta para el estudio los costos y valores de la pera hasta el 15 de noviembre de 2021 en cada uno de los eslabones de la cadena: producción, empaque, flete, mercado mayorista y verdulería. </w:t>
      </w:r>
    </w:p>
    <w:p w14:paraId="1C61FA7B" w14:textId="77777777" w:rsidR="00052D82" w:rsidRPr="00052D82" w:rsidRDefault="00052D82" w:rsidP="00052D82">
      <w:pPr>
        <w:spacing w:after="120" w:line="240" w:lineRule="auto"/>
        <w:rPr>
          <w:sz w:val="18"/>
          <w:szCs w:val="18"/>
        </w:rPr>
      </w:pPr>
      <w:r w:rsidRPr="00052D82">
        <w:rPr>
          <w:sz w:val="18"/>
          <w:szCs w:val="18"/>
        </w:rPr>
        <w:t>El informe explica que actualmente las provincias encargadas de la producción de peras a nivel nacional son Río Negro que aporta a la oferta nacional el 80% de la fruta, seguido por Mendoza y Neuquén que colaboran con el 20% restante. En total, las tres regiones concentran 20.461 hectáreas productivas.</w:t>
      </w:r>
    </w:p>
    <w:p w14:paraId="75D304A4" w14:textId="73D96925" w:rsidR="00052D82" w:rsidRPr="00052D82" w:rsidRDefault="00052D82" w:rsidP="00052D82">
      <w:pPr>
        <w:spacing w:after="120" w:line="240" w:lineRule="auto"/>
        <w:rPr>
          <w:sz w:val="18"/>
          <w:szCs w:val="18"/>
        </w:rPr>
      </w:pPr>
      <w:r w:rsidRPr="00052D82">
        <w:rPr>
          <w:sz w:val="18"/>
          <w:szCs w:val="18"/>
        </w:rPr>
        <w:t>Si se contabilizan los volúmenes productivos y la cantidad de superficie implantada podría decirse que en los últimos cinco años la actividad registró un importante retroceso. Hasta el año 2016 se producían en el país más de 800.000 toneladas y existían aproximadamente 26.000 hectáreas en producción. Sin embargo, desde el 2017 en adelante el sector cayó no solo en volúmenes productivos -menos de 600.000 toneladas- sino también en superficie cultivada -menos de 20.000 hectáreas-.</w:t>
      </w:r>
    </w:p>
    <w:p w14:paraId="76A3B2F7" w14:textId="346BA1DA" w:rsidR="00052D82" w:rsidRPr="00052D82" w:rsidRDefault="00052D82" w:rsidP="00052D82">
      <w:pPr>
        <w:spacing w:after="120" w:line="240" w:lineRule="auto"/>
        <w:jc w:val="center"/>
        <w:rPr>
          <w:sz w:val="18"/>
          <w:szCs w:val="18"/>
        </w:rPr>
      </w:pPr>
      <w:r w:rsidRPr="00052D82">
        <w:rPr>
          <w:noProof/>
          <w:sz w:val="18"/>
          <w:szCs w:val="18"/>
        </w:rPr>
        <w:drawing>
          <wp:inline distT="0" distB="0" distL="0" distR="0" wp14:anchorId="202D00C4" wp14:editId="26486C93">
            <wp:extent cx="3025548" cy="27432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040053" cy="2756351"/>
                    </a:xfrm>
                    <a:prstGeom prst="rect">
                      <a:avLst/>
                    </a:prstGeom>
                  </pic:spPr>
                </pic:pic>
              </a:graphicData>
            </a:graphic>
          </wp:inline>
        </w:drawing>
      </w:r>
    </w:p>
    <w:p w14:paraId="52D28629" w14:textId="77777777" w:rsidR="00052D82" w:rsidRPr="00052D82" w:rsidRDefault="00052D82" w:rsidP="00052D82">
      <w:pPr>
        <w:spacing w:after="120" w:line="240" w:lineRule="auto"/>
        <w:rPr>
          <w:sz w:val="18"/>
          <w:szCs w:val="18"/>
        </w:rPr>
      </w:pPr>
      <w:r w:rsidRPr="00052D82">
        <w:rPr>
          <w:sz w:val="18"/>
          <w:szCs w:val="18"/>
        </w:rPr>
        <w:t xml:space="preserve">En cuanto a los destinos de las peras nacionales, el estudio demuestra que el mayor porcentaje de estas frutas se dirige a la exportación. Durante el 2020 el 53% de la producción tuvo como destino el mercado internacional, el 30% se dirigió a la industria y el 16% restante quedó en el mercado interno para su consumo en fresco. Esto último, quiere decir que un total de 105.200 toneladas se comercializaron durante el año pasado dentro del país. </w:t>
      </w:r>
    </w:p>
    <w:p w14:paraId="7171B4C0" w14:textId="14EB475C" w:rsidR="00052D82" w:rsidRDefault="00052D82" w:rsidP="00052D82">
      <w:pPr>
        <w:spacing w:after="120" w:line="240" w:lineRule="auto"/>
        <w:rPr>
          <w:sz w:val="18"/>
          <w:szCs w:val="18"/>
        </w:rPr>
      </w:pPr>
      <w:r w:rsidRPr="00052D82">
        <w:rPr>
          <w:sz w:val="18"/>
          <w:szCs w:val="18"/>
        </w:rPr>
        <w:t xml:space="preserve">Los principales destinos de las peras argentinas son Brasil, Rusia, Estados Unidos e Italia. El primero absorbió durante el 2020 más de 300.000 toneladas (31.4% de la producción). Sin embargo, la recepción de peras durante el 2021 por parte del país vecino se redujo en un 7%. </w:t>
      </w:r>
    </w:p>
    <w:p w14:paraId="211D42F4" w14:textId="285981AE" w:rsidR="00052D82" w:rsidRPr="00052D82" w:rsidRDefault="00052D82" w:rsidP="00052D82">
      <w:pPr>
        <w:spacing w:after="120" w:line="240" w:lineRule="auto"/>
        <w:jc w:val="center"/>
        <w:rPr>
          <w:sz w:val="18"/>
          <w:szCs w:val="18"/>
        </w:rPr>
      </w:pPr>
      <w:r>
        <w:rPr>
          <w:noProof/>
          <w:sz w:val="18"/>
          <w:szCs w:val="18"/>
        </w:rPr>
        <w:lastRenderedPageBreak/>
        <w:drawing>
          <wp:inline distT="0" distB="0" distL="0" distR="0" wp14:anchorId="0CD0A5CA" wp14:editId="629873C9">
            <wp:extent cx="3210203" cy="2108072"/>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3224615" cy="2117536"/>
                    </a:xfrm>
                    <a:prstGeom prst="rect">
                      <a:avLst/>
                    </a:prstGeom>
                  </pic:spPr>
                </pic:pic>
              </a:graphicData>
            </a:graphic>
          </wp:inline>
        </w:drawing>
      </w:r>
    </w:p>
    <w:p w14:paraId="784E3ADB" w14:textId="77777777" w:rsidR="00052D82" w:rsidRPr="00052D82" w:rsidRDefault="00052D82" w:rsidP="00052D82">
      <w:pPr>
        <w:spacing w:after="120" w:line="240" w:lineRule="auto"/>
        <w:rPr>
          <w:sz w:val="18"/>
          <w:szCs w:val="18"/>
        </w:rPr>
      </w:pPr>
      <w:r w:rsidRPr="00052D82">
        <w:rPr>
          <w:sz w:val="18"/>
          <w:szCs w:val="18"/>
        </w:rPr>
        <w:t xml:space="preserve">En cuanto a las variedades, se pueden destacar las </w:t>
      </w:r>
      <w:proofErr w:type="spellStart"/>
      <w:r w:rsidRPr="00052D82">
        <w:rPr>
          <w:i/>
          <w:sz w:val="18"/>
          <w:szCs w:val="18"/>
        </w:rPr>
        <w:t>Packham’s</w:t>
      </w:r>
      <w:proofErr w:type="spellEnd"/>
      <w:r w:rsidRPr="00052D82">
        <w:rPr>
          <w:i/>
          <w:sz w:val="18"/>
          <w:szCs w:val="18"/>
        </w:rPr>
        <w:t xml:space="preserve">, Williams y </w:t>
      </w:r>
      <w:proofErr w:type="spellStart"/>
      <w:r w:rsidRPr="00052D82">
        <w:rPr>
          <w:i/>
          <w:sz w:val="18"/>
          <w:szCs w:val="18"/>
        </w:rPr>
        <w:t>Beurre</w:t>
      </w:r>
      <w:proofErr w:type="spellEnd"/>
      <w:r w:rsidRPr="00052D82">
        <w:rPr>
          <w:i/>
          <w:sz w:val="18"/>
          <w:szCs w:val="18"/>
        </w:rPr>
        <w:t xml:space="preserve"> </w:t>
      </w:r>
      <w:proofErr w:type="spellStart"/>
      <w:r w:rsidRPr="00052D82">
        <w:rPr>
          <w:i/>
          <w:sz w:val="18"/>
          <w:szCs w:val="18"/>
        </w:rPr>
        <w:t>Dánjou</w:t>
      </w:r>
      <w:proofErr w:type="spellEnd"/>
      <w:r w:rsidRPr="00052D82">
        <w:rPr>
          <w:sz w:val="18"/>
          <w:szCs w:val="18"/>
        </w:rPr>
        <w:t xml:space="preserve">. Las dos primeras componen el 80% de las frutas que se comercializan dentro del país, es decir las que consume el argentino promedio. Al Mercado Central de Buenos Aires (MCBA), uno de los concentradores más importantes del país, en 2020 ingresaron más de 35000 toneladas de peras en total y el mes de marzo se consolidó como el periodo de mayores volúmenes con 5000 toneladas. Este mes, por el aumento en la oferta y el stock, coincidió con una reducción del precio por bulto donde la pera estuvo en $40. Durante el 2021 y en el mismo periodo, mes de marzo, la pera alcanzó en el Central un total de 6000 toneladas y el precio por bulto se situó en los $60. </w:t>
      </w:r>
    </w:p>
    <w:p w14:paraId="6C34E0D6" w14:textId="77777777" w:rsidR="00052D82" w:rsidRPr="00052D82" w:rsidRDefault="00052D82" w:rsidP="00052D82">
      <w:pPr>
        <w:spacing w:after="120" w:line="240" w:lineRule="auto"/>
        <w:rPr>
          <w:sz w:val="18"/>
          <w:szCs w:val="18"/>
        </w:rPr>
      </w:pPr>
      <w:r w:rsidRPr="00052D82">
        <w:rPr>
          <w:sz w:val="18"/>
          <w:szCs w:val="18"/>
        </w:rPr>
        <w:t xml:space="preserve">Sin embargo, para poder explicar cómo se compone el precio de la fruta que llega al consumidor final es necesario volver al inicio de la cadena,  analizar el valor de la pera desde que sale de la finca y el aporte que hace cada eslabón en la construcción de ese precio. </w:t>
      </w:r>
    </w:p>
    <w:p w14:paraId="43A2668E" w14:textId="77777777" w:rsidR="00052D82" w:rsidRPr="00052D82" w:rsidRDefault="00052D82" w:rsidP="00052D82">
      <w:pPr>
        <w:spacing w:after="120" w:line="240" w:lineRule="auto"/>
        <w:rPr>
          <w:sz w:val="18"/>
          <w:szCs w:val="18"/>
        </w:rPr>
      </w:pPr>
      <w:r w:rsidRPr="00052D82">
        <w:rPr>
          <w:sz w:val="18"/>
          <w:szCs w:val="18"/>
        </w:rPr>
        <w:t xml:space="preserve">Los especialistas que desarrollaron el informe tomaron como referencia el día 15 de noviembre de 2021, cuando la pera en la verdulería tuvo un valor de $123 el kilo. A partir de entonces estimaron que el productor hace un aporte al valor de la fruta del 23.6% ($29), el empaque aporta un 25.4% ($31.23), el flete suma un 8% ($9.90), el mercado concentrador un 9.7% ($11.87) y la verdulería un 33.3% ($41). Cada uno de esos valores dan como resultado el precio final del kilo de pera de cara al consumidor final en los comercios minoristas argentinos. </w:t>
      </w:r>
    </w:p>
    <w:p w14:paraId="1F47202E" w14:textId="7095A75D" w:rsidR="00052D82" w:rsidRDefault="00052D82" w:rsidP="00052D82">
      <w:pPr>
        <w:spacing w:after="120" w:line="240" w:lineRule="auto"/>
        <w:jc w:val="center"/>
        <w:rPr>
          <w:i/>
          <w:sz w:val="18"/>
          <w:szCs w:val="18"/>
        </w:rPr>
      </w:pPr>
      <w:r>
        <w:rPr>
          <w:i/>
          <w:noProof/>
          <w:sz w:val="18"/>
          <w:szCs w:val="18"/>
        </w:rPr>
        <w:drawing>
          <wp:inline distT="0" distB="0" distL="0" distR="0" wp14:anchorId="23F138BC" wp14:editId="41B34BE9">
            <wp:extent cx="2848409" cy="2093137"/>
            <wp:effectExtent l="0" t="0" r="9525"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9">
                      <a:extLst>
                        <a:ext uri="{28A0092B-C50C-407E-A947-70E740481C1C}">
                          <a14:useLocalDpi xmlns:a14="http://schemas.microsoft.com/office/drawing/2010/main" val="0"/>
                        </a:ext>
                      </a:extLst>
                    </a:blip>
                    <a:srcRect l="10027" t="4801" r="10950" b="52237"/>
                    <a:stretch/>
                  </pic:blipFill>
                  <pic:spPr bwMode="auto">
                    <a:xfrm>
                      <a:off x="0" y="0"/>
                      <a:ext cx="2863056" cy="2103901"/>
                    </a:xfrm>
                    <a:prstGeom prst="rect">
                      <a:avLst/>
                    </a:prstGeom>
                    <a:ln>
                      <a:noFill/>
                    </a:ln>
                    <a:extLst>
                      <a:ext uri="{53640926-AAD7-44D8-BBD7-CCE9431645EC}">
                        <a14:shadowObscured xmlns:a14="http://schemas.microsoft.com/office/drawing/2010/main"/>
                      </a:ext>
                    </a:extLst>
                  </pic:spPr>
                </pic:pic>
              </a:graphicData>
            </a:graphic>
          </wp:inline>
        </w:drawing>
      </w:r>
      <w:r w:rsidR="00347ED4">
        <w:rPr>
          <w:i/>
          <w:noProof/>
          <w:sz w:val="18"/>
          <w:szCs w:val="18"/>
        </w:rPr>
        <w:drawing>
          <wp:inline distT="0" distB="0" distL="0" distR="0" wp14:anchorId="3842852F" wp14:editId="6861919C">
            <wp:extent cx="2849053" cy="2327567"/>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9">
                      <a:extLst>
                        <a:ext uri="{28A0092B-C50C-407E-A947-70E740481C1C}">
                          <a14:useLocalDpi xmlns:a14="http://schemas.microsoft.com/office/drawing/2010/main" val="0"/>
                        </a:ext>
                      </a:extLst>
                    </a:blip>
                    <a:srcRect l="11207" t="45608" r="9770" b="6629"/>
                    <a:stretch/>
                  </pic:blipFill>
                  <pic:spPr bwMode="auto">
                    <a:xfrm>
                      <a:off x="0" y="0"/>
                      <a:ext cx="2863056" cy="2339007"/>
                    </a:xfrm>
                    <a:prstGeom prst="rect">
                      <a:avLst/>
                    </a:prstGeom>
                    <a:ln>
                      <a:noFill/>
                    </a:ln>
                    <a:extLst>
                      <a:ext uri="{53640926-AAD7-44D8-BBD7-CCE9431645EC}">
                        <a14:shadowObscured xmlns:a14="http://schemas.microsoft.com/office/drawing/2010/main"/>
                      </a:ext>
                    </a:extLst>
                  </pic:spPr>
                </pic:pic>
              </a:graphicData>
            </a:graphic>
          </wp:inline>
        </w:drawing>
      </w:r>
    </w:p>
    <w:p w14:paraId="2241AE60" w14:textId="0D9EC70E" w:rsidR="00052D82" w:rsidRPr="00052D82" w:rsidRDefault="00052D82" w:rsidP="00052D82">
      <w:pPr>
        <w:spacing w:after="120" w:line="240" w:lineRule="auto"/>
        <w:rPr>
          <w:i/>
          <w:sz w:val="18"/>
          <w:szCs w:val="18"/>
        </w:rPr>
      </w:pPr>
      <w:r w:rsidRPr="00052D82">
        <w:rPr>
          <w:i/>
          <w:sz w:val="18"/>
          <w:szCs w:val="18"/>
        </w:rPr>
        <w:t xml:space="preserve">La realización del estudio fue posible gracias al aporte económico de la empresa privada </w:t>
      </w:r>
      <w:proofErr w:type="spellStart"/>
      <w:r w:rsidRPr="00052D82">
        <w:rPr>
          <w:i/>
          <w:sz w:val="18"/>
          <w:szCs w:val="18"/>
        </w:rPr>
        <w:t>Danser</w:t>
      </w:r>
      <w:proofErr w:type="spellEnd"/>
      <w:r w:rsidRPr="00052D82">
        <w:rPr>
          <w:i/>
          <w:sz w:val="18"/>
          <w:szCs w:val="18"/>
        </w:rPr>
        <w:t xml:space="preserve"> y la investigación del ingeniero agrónomo, Mariano </w:t>
      </w:r>
      <w:proofErr w:type="spellStart"/>
      <w:r w:rsidRPr="00052D82">
        <w:rPr>
          <w:i/>
          <w:sz w:val="18"/>
          <w:szCs w:val="18"/>
        </w:rPr>
        <w:t>Lechardoy</w:t>
      </w:r>
      <w:proofErr w:type="spellEnd"/>
      <w:r w:rsidRPr="00052D82">
        <w:rPr>
          <w:i/>
          <w:sz w:val="18"/>
          <w:szCs w:val="18"/>
        </w:rPr>
        <w:t>, y el licenciado, Sergio Molina.</w:t>
      </w:r>
    </w:p>
    <w:p w14:paraId="4CCB5065" w14:textId="66E4B963" w:rsidR="00052D82" w:rsidRPr="00052D82" w:rsidRDefault="00052D82" w:rsidP="00052D82">
      <w:pPr>
        <w:spacing w:after="120" w:line="240" w:lineRule="auto"/>
        <w:rPr>
          <w:sz w:val="18"/>
          <w:szCs w:val="18"/>
        </w:rPr>
      </w:pPr>
      <w:proofErr w:type="spellStart"/>
      <w:r w:rsidRPr="00052D82">
        <w:rPr>
          <w:sz w:val="18"/>
          <w:szCs w:val="18"/>
        </w:rPr>
        <w:t>Mirá</w:t>
      </w:r>
      <w:proofErr w:type="spellEnd"/>
      <w:r w:rsidRPr="00052D82">
        <w:rPr>
          <w:sz w:val="18"/>
          <w:szCs w:val="18"/>
        </w:rPr>
        <w:t xml:space="preserve"> el informe completo </w:t>
      </w:r>
      <w:r w:rsidRPr="00052D82">
        <w:rPr>
          <w:sz w:val="18"/>
          <w:szCs w:val="18"/>
        </w:rPr>
        <w:t xml:space="preserve">ingresando </w:t>
      </w:r>
      <w:hyperlink r:id="rId10" w:history="1">
        <w:r w:rsidR="00347ED4" w:rsidRPr="00347ED4">
          <w:rPr>
            <w:rStyle w:val="Hipervnculo"/>
            <w:sz w:val="18"/>
            <w:szCs w:val="18"/>
          </w:rPr>
          <w:t>http://fenaomfra.org.ar/</w:t>
        </w:r>
      </w:hyperlink>
    </w:p>
    <w:p w14:paraId="20B2F853" w14:textId="77777777" w:rsidR="00AC55E2" w:rsidRPr="00613CAE" w:rsidRDefault="00AC55E2" w:rsidP="00E37253">
      <w:pPr>
        <w:spacing w:after="135"/>
        <w:jc w:val="right"/>
        <w:rPr>
          <w:rFonts w:asciiTheme="majorHAnsi" w:eastAsia="Quattrocento Sans" w:hAnsiTheme="majorHAnsi" w:cstheme="majorHAnsi"/>
          <w:color w:val="333333"/>
          <w:sz w:val="20"/>
          <w:szCs w:val="20"/>
        </w:rPr>
      </w:pPr>
    </w:p>
    <w:sectPr w:rsidR="00AC55E2" w:rsidRPr="00613CAE" w:rsidSect="00CE4B6B">
      <w:headerReference w:type="default" r:id="rId11"/>
      <w:footerReference w:type="default" r:id="rId12"/>
      <w:pgSz w:w="11906" w:h="16838"/>
      <w:pgMar w:top="2977" w:right="1274" w:bottom="1135"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C398" w14:textId="77777777" w:rsidR="0061111E" w:rsidRDefault="0061111E">
      <w:pPr>
        <w:spacing w:after="0" w:line="240" w:lineRule="auto"/>
      </w:pPr>
      <w:r>
        <w:separator/>
      </w:r>
    </w:p>
  </w:endnote>
  <w:endnote w:type="continuationSeparator" w:id="0">
    <w:p w14:paraId="40AEF6C6" w14:textId="77777777" w:rsidR="0061111E" w:rsidRDefault="0061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60E1" w14:textId="129D5F2E" w:rsidR="00CB03A9" w:rsidRDefault="00CB03A9" w:rsidP="006402CE">
    <w:pPr>
      <w:pBdr>
        <w:top w:val="nil"/>
        <w:left w:val="nil"/>
        <w:bottom w:val="nil"/>
        <w:right w:val="nil"/>
        <w:between w:val="nil"/>
      </w:pBdr>
      <w:tabs>
        <w:tab w:val="center" w:pos="4252"/>
        <w:tab w:val="right" w:pos="8504"/>
      </w:tabs>
      <w:jc w:val="center"/>
      <w:rPr>
        <w:b/>
        <w:bCs/>
        <w:noProof/>
        <w:color w:val="00B050"/>
      </w:rPr>
    </w:pPr>
  </w:p>
  <w:p w14:paraId="0DB38594" w14:textId="6E595027" w:rsidR="00A65666" w:rsidRPr="006402CE" w:rsidRDefault="006517EB" w:rsidP="006402CE">
    <w:pPr>
      <w:pBdr>
        <w:top w:val="nil"/>
        <w:left w:val="nil"/>
        <w:bottom w:val="nil"/>
        <w:right w:val="nil"/>
        <w:between w:val="nil"/>
      </w:pBdr>
      <w:tabs>
        <w:tab w:val="center" w:pos="4252"/>
        <w:tab w:val="right" w:pos="8504"/>
      </w:tabs>
      <w:jc w:val="center"/>
      <w:rPr>
        <w:b/>
        <w:bCs/>
        <w:color w:val="000000"/>
      </w:rPr>
    </w:pPr>
    <w:r w:rsidRPr="006402CE">
      <w:rPr>
        <w:b/>
        <w:bCs/>
        <w:noProof/>
      </w:rPr>
      <w:drawing>
        <wp:anchor distT="0" distB="0" distL="114300" distR="114300" simplePos="0" relativeHeight="251662336" behindDoc="0" locked="0" layoutInCell="1" hidden="0" allowOverlap="1" wp14:anchorId="203F8387" wp14:editId="51059960">
          <wp:simplePos x="0" y="0"/>
          <wp:positionH relativeFrom="column">
            <wp:posOffset>1230630</wp:posOffset>
          </wp:positionH>
          <wp:positionV relativeFrom="paragraph">
            <wp:posOffset>205740</wp:posOffset>
          </wp:positionV>
          <wp:extent cx="572161" cy="400269"/>
          <wp:effectExtent l="0" t="0" r="0" b="0"/>
          <wp:wrapNone/>
          <wp:docPr id="37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l="28857" t="27351" r="31334" b="44798"/>
                  <a:stretch>
                    <a:fillRect/>
                  </a:stretch>
                </pic:blipFill>
                <pic:spPr>
                  <a:xfrm>
                    <a:off x="0" y="0"/>
                    <a:ext cx="572161" cy="400269"/>
                  </a:xfrm>
                  <a:prstGeom prst="rect">
                    <a:avLst/>
                  </a:prstGeom>
                  <a:ln/>
                </pic:spPr>
              </pic:pic>
            </a:graphicData>
          </a:graphic>
        </wp:anchor>
      </w:drawing>
    </w:r>
    <w:r w:rsidRPr="006402CE">
      <w:rPr>
        <w:b/>
        <w:bCs/>
        <w:noProof/>
      </w:rPr>
      <w:drawing>
        <wp:anchor distT="0" distB="0" distL="114300" distR="114300" simplePos="0" relativeHeight="251663360" behindDoc="0" locked="0" layoutInCell="1" hidden="0" allowOverlap="1" wp14:anchorId="4D8CD625" wp14:editId="08CDC298">
          <wp:simplePos x="0" y="0"/>
          <wp:positionH relativeFrom="column">
            <wp:posOffset>5064369</wp:posOffset>
          </wp:positionH>
          <wp:positionV relativeFrom="paragraph">
            <wp:posOffset>-179199</wp:posOffset>
          </wp:positionV>
          <wp:extent cx="3420207" cy="3420207"/>
          <wp:effectExtent l="0" t="0" r="0" b="0"/>
          <wp:wrapNone/>
          <wp:docPr id="37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3420207" cy="3420207"/>
                  </a:xfrm>
                  <a:prstGeom prst="rect">
                    <a:avLst/>
                  </a:prstGeom>
                  <a:ln/>
                </pic:spPr>
              </pic:pic>
            </a:graphicData>
          </a:graphic>
        </wp:anchor>
      </w:drawing>
    </w:r>
    <w:r w:rsidRPr="006402CE">
      <w:rPr>
        <w:b/>
        <w:bCs/>
        <w:noProof/>
      </w:rPr>
      <w:drawing>
        <wp:anchor distT="0" distB="0" distL="114300" distR="114300" simplePos="0" relativeHeight="251664384" behindDoc="0" locked="0" layoutInCell="1" hidden="0" allowOverlap="1" wp14:anchorId="32EBF79D" wp14:editId="21871A74">
          <wp:simplePos x="0" y="0"/>
          <wp:positionH relativeFrom="column">
            <wp:posOffset>-2602519</wp:posOffset>
          </wp:positionH>
          <wp:positionV relativeFrom="paragraph">
            <wp:posOffset>-259584</wp:posOffset>
          </wp:positionV>
          <wp:extent cx="3420207" cy="3420207"/>
          <wp:effectExtent l="0" t="0" r="0" b="0"/>
          <wp:wrapNone/>
          <wp:docPr id="37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3420207" cy="3420207"/>
                  </a:xfrm>
                  <a:prstGeom prst="rect">
                    <a:avLst/>
                  </a:prstGeom>
                  <a:ln/>
                </pic:spPr>
              </pic:pic>
            </a:graphicData>
          </a:graphic>
        </wp:anchor>
      </w:drawing>
    </w:r>
  </w:p>
  <w:p w14:paraId="3B182FB2" w14:textId="518F7E86" w:rsidR="00A65666" w:rsidRDefault="00F95D22">
    <w:pPr>
      <w:pBdr>
        <w:top w:val="nil"/>
        <w:left w:val="nil"/>
        <w:bottom w:val="nil"/>
        <w:right w:val="nil"/>
        <w:between w:val="nil"/>
      </w:pBdr>
      <w:tabs>
        <w:tab w:val="center" w:pos="4252"/>
        <w:tab w:val="right" w:pos="8504"/>
      </w:tabs>
      <w:jc w:val="center"/>
      <w:rPr>
        <w:color w:val="000000"/>
      </w:rPr>
    </w:pPr>
    <w:r>
      <w:t xml:space="preserve">      </w:t>
    </w:r>
    <w:r w:rsidR="00EF067A">
      <w:t xml:space="preserve">        </w:t>
    </w:r>
    <w:r>
      <w:t xml:space="preserve"> </w:t>
    </w:r>
    <w:hyperlink r:id="rId3">
      <w:r w:rsidR="006517EB">
        <w:rPr>
          <w:color w:val="000000"/>
        </w:rPr>
        <w:t>www.FENAOMFRA.org.ar</w:t>
      </w:r>
    </w:hyperlink>
    <w:r w:rsidR="006517EB">
      <w:rPr>
        <w:color w:val="000000"/>
      </w:rPr>
      <w:t xml:space="preserve"> - info@fenaomfra.org.ar</w:t>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CD41" w14:textId="77777777" w:rsidR="0061111E" w:rsidRDefault="0061111E">
      <w:pPr>
        <w:spacing w:after="0" w:line="240" w:lineRule="auto"/>
      </w:pPr>
      <w:r>
        <w:separator/>
      </w:r>
    </w:p>
  </w:footnote>
  <w:footnote w:type="continuationSeparator" w:id="0">
    <w:p w14:paraId="69071384" w14:textId="77777777" w:rsidR="0061111E" w:rsidRDefault="0061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D59D" w14:textId="49B02618" w:rsidR="00A65666" w:rsidRDefault="006517EB">
    <w:pPr>
      <w:spacing w:after="0" w:line="240" w:lineRule="auto"/>
      <w:ind w:left="5529"/>
      <w:jc w:val="center"/>
      <w:rPr>
        <w:rFonts w:ascii="Arial" w:eastAsia="Arial" w:hAnsi="Arial" w:cs="Arial"/>
        <w:color w:val="666666"/>
        <w:sz w:val="20"/>
        <w:szCs w:val="20"/>
      </w:rPr>
    </w:pPr>
    <w:r>
      <w:rPr>
        <w:noProof/>
      </w:rPr>
      <w:drawing>
        <wp:anchor distT="0" distB="0" distL="114300" distR="114300" simplePos="0" relativeHeight="251658240" behindDoc="0" locked="0" layoutInCell="1" hidden="0" allowOverlap="1" wp14:anchorId="45DDFFEB" wp14:editId="23047862">
          <wp:simplePos x="0" y="0"/>
          <wp:positionH relativeFrom="column">
            <wp:posOffset>-2593531</wp:posOffset>
          </wp:positionH>
          <wp:positionV relativeFrom="paragraph">
            <wp:posOffset>-1318598</wp:posOffset>
          </wp:positionV>
          <wp:extent cx="3420207" cy="3420207"/>
          <wp:effectExtent l="0" t="0" r="0" b="0"/>
          <wp:wrapNone/>
          <wp:docPr id="36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3420207" cy="342020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E371D96" wp14:editId="4376CB0C">
          <wp:simplePos x="0" y="0"/>
          <wp:positionH relativeFrom="column">
            <wp:posOffset>5006340</wp:posOffset>
          </wp:positionH>
          <wp:positionV relativeFrom="paragraph">
            <wp:posOffset>-1205226</wp:posOffset>
          </wp:positionV>
          <wp:extent cx="3420207" cy="3420207"/>
          <wp:effectExtent l="0" t="0" r="0" b="0"/>
          <wp:wrapNone/>
          <wp:docPr id="36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3420207" cy="3420207"/>
                  </a:xfrm>
                  <a:prstGeom prst="rect">
                    <a:avLst/>
                  </a:prstGeom>
                  <a:ln/>
                </pic:spPr>
              </pic:pic>
            </a:graphicData>
          </a:graphic>
        </wp:anchor>
      </w:drawing>
    </w:r>
  </w:p>
  <w:p w14:paraId="5091BC8E" w14:textId="5B1CE485" w:rsidR="00A65666" w:rsidRDefault="00A65666">
    <w:pPr>
      <w:spacing w:after="0" w:line="240" w:lineRule="auto"/>
      <w:ind w:left="5529"/>
      <w:jc w:val="center"/>
      <w:rPr>
        <w:rFonts w:ascii="Poppins" w:eastAsia="Poppins" w:hAnsi="Poppins" w:cs="Poppins"/>
        <w:b/>
        <w:sz w:val="20"/>
        <w:szCs w:val="20"/>
      </w:rPr>
    </w:pPr>
  </w:p>
  <w:p w14:paraId="01FB693C" w14:textId="71049234" w:rsidR="00A65666" w:rsidRDefault="00A65666">
    <w:pPr>
      <w:spacing w:after="0" w:line="240" w:lineRule="auto"/>
      <w:ind w:left="5529"/>
      <w:jc w:val="center"/>
      <w:rPr>
        <w:rFonts w:ascii="Poppins" w:eastAsia="Poppins" w:hAnsi="Poppins" w:cs="Poppins"/>
        <w:b/>
        <w:sz w:val="20"/>
        <w:szCs w:val="20"/>
      </w:rPr>
    </w:pPr>
  </w:p>
  <w:p w14:paraId="2500C784" w14:textId="3023CE76" w:rsidR="00A65666" w:rsidRDefault="00F95D22">
    <w:pPr>
      <w:spacing w:after="0" w:line="240" w:lineRule="auto"/>
      <w:ind w:left="5529"/>
      <w:jc w:val="center"/>
      <w:rPr>
        <w:rFonts w:ascii="Poppins" w:eastAsia="Poppins" w:hAnsi="Poppins" w:cs="Poppins"/>
        <w:b/>
        <w:sz w:val="20"/>
        <w:szCs w:val="20"/>
      </w:rPr>
    </w:pPr>
    <w:r>
      <w:rPr>
        <w:noProof/>
      </w:rPr>
      <w:drawing>
        <wp:anchor distT="0" distB="0" distL="114300" distR="114300" simplePos="0" relativeHeight="251660288" behindDoc="0" locked="0" layoutInCell="1" hidden="0" allowOverlap="1" wp14:anchorId="3F58771B" wp14:editId="016D886F">
          <wp:simplePos x="0" y="0"/>
          <wp:positionH relativeFrom="column">
            <wp:posOffset>1120140</wp:posOffset>
          </wp:positionH>
          <wp:positionV relativeFrom="paragraph">
            <wp:posOffset>38735</wp:posOffset>
          </wp:positionV>
          <wp:extent cx="1798320" cy="845820"/>
          <wp:effectExtent l="0" t="0" r="0" b="0"/>
          <wp:wrapNone/>
          <wp:docPr id="37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
                  <a:srcRect t="23784" b="29167"/>
                  <a:stretch>
                    <a:fillRect/>
                  </a:stretch>
                </pic:blipFill>
                <pic:spPr>
                  <a:xfrm>
                    <a:off x="0" y="0"/>
                    <a:ext cx="1798320" cy="845820"/>
                  </a:xfrm>
                  <a:prstGeom prst="rect">
                    <a:avLst/>
                  </a:prstGeom>
                  <a:ln/>
                </pic:spPr>
              </pic:pic>
            </a:graphicData>
          </a:graphic>
        </wp:anchor>
      </w:drawing>
    </w:r>
    <w:r>
      <w:rPr>
        <w:rFonts w:ascii="Poppins" w:eastAsia="Poppins" w:hAnsi="Poppins" w:cs="Poppins"/>
        <w:b/>
        <w:noProof/>
        <w:sz w:val="20"/>
        <w:szCs w:val="20"/>
      </w:rPr>
      <mc:AlternateContent>
        <mc:Choice Requires="wps">
          <w:drawing>
            <wp:anchor distT="0" distB="0" distL="114300" distR="114300" simplePos="0" relativeHeight="251667456" behindDoc="0" locked="0" layoutInCell="1" allowOverlap="1" wp14:anchorId="34A1FFA9" wp14:editId="7DF6CD00">
              <wp:simplePos x="0" y="0"/>
              <wp:positionH relativeFrom="column">
                <wp:posOffset>3429000</wp:posOffset>
              </wp:positionH>
              <wp:positionV relativeFrom="paragraph">
                <wp:posOffset>114299</wp:posOffset>
              </wp:positionV>
              <wp:extent cx="4445" cy="1152525"/>
              <wp:effectExtent l="0" t="0" r="33655" b="28575"/>
              <wp:wrapNone/>
              <wp:docPr id="320" name="Conector recto 320"/>
              <wp:cNvGraphicFramePr/>
              <a:graphic xmlns:a="http://schemas.openxmlformats.org/drawingml/2006/main">
                <a:graphicData uri="http://schemas.microsoft.com/office/word/2010/wordprocessingShape">
                  <wps:wsp>
                    <wps:cNvCnPr/>
                    <wps:spPr>
                      <a:xfrm>
                        <a:off x="0" y="0"/>
                        <a:ext cx="4445" cy="1152525"/>
                      </a:xfrm>
                      <a:prstGeom prst="line">
                        <a:avLst/>
                      </a:prstGeom>
                      <a:ln>
                        <a:solidFill>
                          <a:srgbClr val="0066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A04D2" id="Conector recto 3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9pt" to="270.3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uP0QEAAPsDAAAOAAAAZHJzL2Uyb0RvYy54bWysU9uO0zAQfUfiHyy/UyelW6Go6T50tbwg&#10;qID9ANexGwvfNDZN+veMnTS7AoQQQpEmHnvOmTkz9u5+tIZcJETtXUvrVUWJdMJ32p1b+vT18c07&#10;SmLiruPGO9nSq4z0fv/61W4IjVz73ptOAkESF5shtLRPKTSMRdFLy+PKB+nwUHmwPKELZ9YBH5Dd&#10;Grauqi0bPHQBvJAx4u7DdEj3hV8pKdInpaJMxLQUa0vFQrGnbNl+x5sz8NBrMZfB/6EKy7XDpAvV&#10;A0+cfAf9C5XVAnz0Kq2Et8wrpYUsGlBNXf2k5kvPgyxasDkxLG2K/49WfLwcgeiupW/X2B/HLQ7p&#10;gKMSyQOB/CP5BPs0hNhg+MEdYfZiOEIWPSqw+Y9yyFh6e116K8dEBG5uNps7SgQe1PXdGr9MyZ6x&#10;AWJ6L70ledFSo11Wzht++RDTFHoLydvGZRu90d2jNqY4cD4dDJALz7OuttuqlI05XoShl6Esi5nK&#10;L6t0NXKi/SwVtgMLrkv6chHlQtt9q+e6jcPIDFGYfgFVfwbNsRkmy+X8W+ASXTJ6lxag1c7D77Km&#10;8VaqmuJvqietWfbJd9cyzNIOvGFlIvNryFf4pV/gz292/wMAAP//AwBQSwMEFAAGAAgAAAAhADV6&#10;hYndAAAACgEAAA8AAABkcnMvZG93bnJldi54bWxMT8tOwzAQvCP1H6xF4kYdWlqaEKdCSAjBoVJa&#10;PsCNt3FovI5iN0n/nuUEp9U8NDuTbyfXigH70HhS8DBPQCBV3jRUK/g6vN1vQISoyejWEyq4YoBt&#10;MbvJdWb8SCUO+1gLDqGQaQU2xi6TMlQWnQ5z3yGxdvK905FhX0vT65HDXSsXSbKWTjfEH6zu8NVi&#10;dd5fnIJTOXx+p1cjP8Z6t3w/L0Nph0qpu9vp5RlExCn+meG3PleHgjsd/YVMEK2C1WPCWyILG75s&#10;YOIJxJGJNF2BLHL5f0LxAwAA//8DAFBLAQItABQABgAIAAAAIQC2gziS/gAAAOEBAAATAAAAAAAA&#10;AAAAAAAAAAAAAABbQ29udGVudF9UeXBlc10ueG1sUEsBAi0AFAAGAAgAAAAhADj9If/WAAAAlAEA&#10;AAsAAAAAAAAAAAAAAAAALwEAAF9yZWxzLy5yZWxzUEsBAi0AFAAGAAgAAAAhAPRyG4/RAQAA+wMA&#10;AA4AAAAAAAAAAAAAAAAALgIAAGRycy9lMm9Eb2MueG1sUEsBAi0AFAAGAAgAAAAhADV6hYndAAAA&#10;CgEAAA8AAAAAAAAAAAAAAAAAKwQAAGRycy9kb3ducmV2LnhtbFBLBQYAAAAABAAEAPMAAAA1BQAA&#10;AAA=&#10;" strokecolor="#060"/>
          </w:pict>
        </mc:Fallback>
      </mc:AlternateContent>
    </w:r>
  </w:p>
  <w:p w14:paraId="29F2C695" w14:textId="306DCE57" w:rsidR="00A65666" w:rsidRDefault="00F95D22">
    <w:pPr>
      <w:spacing w:after="0" w:line="240" w:lineRule="auto"/>
      <w:ind w:left="5529"/>
      <w:jc w:val="center"/>
      <w:rPr>
        <w:rFonts w:ascii="Poppins" w:eastAsia="Poppins" w:hAnsi="Poppins" w:cs="Poppins"/>
        <w:b/>
        <w:sz w:val="20"/>
        <w:szCs w:val="20"/>
      </w:rPr>
    </w:pPr>
    <w:r>
      <w:rPr>
        <w:b/>
        <w:bCs/>
        <w:noProof/>
        <w:color w:val="00B050"/>
      </w:rPr>
      <w:drawing>
        <wp:anchor distT="0" distB="0" distL="114300" distR="114300" simplePos="0" relativeHeight="251670528" behindDoc="1" locked="0" layoutInCell="1" allowOverlap="1" wp14:anchorId="2DEDB87B" wp14:editId="52814B2C">
          <wp:simplePos x="0" y="0"/>
          <wp:positionH relativeFrom="column">
            <wp:posOffset>3886200</wp:posOffset>
          </wp:positionH>
          <wp:positionV relativeFrom="paragraph">
            <wp:posOffset>6350</wp:posOffset>
          </wp:positionV>
          <wp:extent cx="1047750" cy="1047750"/>
          <wp:effectExtent l="0" t="0" r="9525" b="9525"/>
          <wp:wrapSquare wrapText="bothSides"/>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61B91260" w14:textId="2937378C" w:rsidR="00A65666" w:rsidRDefault="00A65666">
    <w:pPr>
      <w:spacing w:after="0" w:line="240" w:lineRule="auto"/>
      <w:ind w:left="5529"/>
      <w:jc w:val="center"/>
      <w:rPr>
        <w:rFonts w:ascii="Poppins" w:eastAsia="Poppins" w:hAnsi="Poppins" w:cs="Poppins"/>
        <w:b/>
        <w:sz w:val="18"/>
        <w:szCs w:val="18"/>
      </w:rPr>
    </w:pPr>
  </w:p>
  <w:p w14:paraId="1402DB53" w14:textId="46816622" w:rsidR="00A65666" w:rsidRDefault="00A65666">
    <w:pPr>
      <w:spacing w:after="0" w:line="240" w:lineRule="auto"/>
      <w:ind w:left="5529"/>
      <w:jc w:val="center"/>
      <w:rPr>
        <w:rFonts w:ascii="Poppins" w:eastAsia="Poppins" w:hAnsi="Poppins" w:cs="Poppins"/>
        <w:b/>
        <w:sz w:val="18"/>
        <w:szCs w:val="18"/>
      </w:rPr>
    </w:pPr>
  </w:p>
  <w:p w14:paraId="4CA4A896" w14:textId="465AD10C" w:rsidR="00A65666" w:rsidRDefault="00F95D22">
    <w:pPr>
      <w:pBdr>
        <w:top w:val="nil"/>
        <w:left w:val="nil"/>
        <w:bottom w:val="nil"/>
        <w:right w:val="nil"/>
        <w:between w:val="nil"/>
      </w:pBdr>
      <w:tabs>
        <w:tab w:val="center" w:pos="4252"/>
        <w:tab w:val="right" w:pos="8504"/>
      </w:tabs>
      <w:rPr>
        <w:rFonts w:ascii="Poppins" w:eastAsia="Poppins" w:hAnsi="Poppins" w:cs="Poppins"/>
        <w:color w:val="000000"/>
        <w:sz w:val="18"/>
        <w:szCs w:val="18"/>
      </w:rPr>
    </w:pPr>
    <w:r>
      <w:rPr>
        <w:noProof/>
      </w:rPr>
      <mc:AlternateContent>
        <mc:Choice Requires="wps">
          <w:drawing>
            <wp:anchor distT="0" distB="0" distL="114300" distR="114300" simplePos="0" relativeHeight="251661312" behindDoc="0" locked="0" layoutInCell="1" hidden="0" allowOverlap="1" wp14:anchorId="48BC84C9" wp14:editId="62837095">
              <wp:simplePos x="0" y="0"/>
              <wp:positionH relativeFrom="margin">
                <wp:posOffset>868045</wp:posOffset>
              </wp:positionH>
              <wp:positionV relativeFrom="paragraph">
                <wp:posOffset>195580</wp:posOffset>
              </wp:positionV>
              <wp:extent cx="2305050" cy="629285"/>
              <wp:effectExtent l="0" t="0" r="0" b="0"/>
              <wp:wrapNone/>
              <wp:docPr id="35" name="Rectángulo 35"/>
              <wp:cNvGraphicFramePr/>
              <a:graphic xmlns:a="http://schemas.openxmlformats.org/drawingml/2006/main">
                <a:graphicData uri="http://schemas.microsoft.com/office/word/2010/wordprocessingShape">
                  <wps:wsp>
                    <wps:cNvSpPr/>
                    <wps:spPr>
                      <a:xfrm>
                        <a:off x="0" y="0"/>
                        <a:ext cx="2305050" cy="629285"/>
                      </a:xfrm>
                      <a:prstGeom prst="rect">
                        <a:avLst/>
                      </a:prstGeom>
                      <a:noFill/>
                      <a:ln>
                        <a:noFill/>
                      </a:ln>
                    </wps:spPr>
                    <wps:txbx>
                      <w:txbxContent>
                        <w:p w14:paraId="50CA369A" w14:textId="77777777" w:rsidR="00F95D22" w:rsidRDefault="006517EB" w:rsidP="00F95D22">
                          <w:pPr>
                            <w:spacing w:after="0" w:line="240" w:lineRule="auto"/>
                            <w:jc w:val="center"/>
                            <w:textDirection w:val="btLr"/>
                            <w:rPr>
                              <w:rFonts w:ascii="Tahoma" w:eastAsia="Tahoma" w:hAnsi="Tahoma" w:cs="Tahoma"/>
                              <w:b/>
                              <w:color w:val="404040"/>
                              <w:sz w:val="16"/>
                              <w:szCs w:val="20"/>
                            </w:rPr>
                          </w:pPr>
                          <w:r w:rsidRPr="00F95D22">
                            <w:rPr>
                              <w:rFonts w:ascii="Tahoma" w:eastAsia="Tahoma" w:hAnsi="Tahoma" w:cs="Tahoma"/>
                              <w:b/>
                              <w:color w:val="404040"/>
                              <w:sz w:val="16"/>
                              <w:szCs w:val="20"/>
                            </w:rPr>
                            <w:t>Federación Nacional de</w:t>
                          </w:r>
                        </w:p>
                        <w:p w14:paraId="08E735C9" w14:textId="1824A492" w:rsidR="00A65666" w:rsidRPr="00F95D22" w:rsidRDefault="006517EB" w:rsidP="00F95D22">
                          <w:pPr>
                            <w:spacing w:after="0" w:line="240" w:lineRule="auto"/>
                            <w:jc w:val="center"/>
                            <w:textDirection w:val="btLr"/>
                            <w:rPr>
                              <w:sz w:val="20"/>
                              <w:szCs w:val="20"/>
                            </w:rPr>
                          </w:pPr>
                          <w:r w:rsidRPr="00F95D22">
                            <w:rPr>
                              <w:rFonts w:ascii="Tahoma" w:eastAsia="Tahoma" w:hAnsi="Tahoma" w:cs="Tahoma"/>
                              <w:b/>
                              <w:color w:val="404040"/>
                              <w:sz w:val="16"/>
                              <w:szCs w:val="20"/>
                            </w:rPr>
                            <w:t>Operadores de</w:t>
                          </w:r>
                          <w:r w:rsidR="00F95D22" w:rsidRPr="00F95D22">
                            <w:rPr>
                              <w:rFonts w:ascii="Tahoma" w:eastAsia="Tahoma" w:hAnsi="Tahoma" w:cs="Tahoma"/>
                              <w:b/>
                              <w:color w:val="404040"/>
                              <w:sz w:val="16"/>
                              <w:szCs w:val="20"/>
                            </w:rPr>
                            <w:t xml:space="preserve"> </w:t>
                          </w:r>
                          <w:r w:rsidRPr="00F95D22">
                            <w:rPr>
                              <w:rFonts w:ascii="Tahoma" w:eastAsia="Tahoma" w:hAnsi="Tahoma" w:cs="Tahoma"/>
                              <w:b/>
                              <w:color w:val="404040"/>
                              <w:sz w:val="16"/>
                              <w:szCs w:val="20"/>
                            </w:rPr>
                            <w:t>Mercados Frutihortícolas de la</w:t>
                          </w:r>
                          <w:r w:rsidR="00672D47" w:rsidRPr="00F95D22">
                            <w:rPr>
                              <w:rFonts w:ascii="Tahoma" w:eastAsia="Tahoma" w:hAnsi="Tahoma" w:cs="Tahoma"/>
                              <w:b/>
                              <w:color w:val="404040"/>
                              <w:sz w:val="16"/>
                              <w:szCs w:val="20"/>
                            </w:rPr>
                            <w:t xml:space="preserve"> </w:t>
                          </w:r>
                          <w:r w:rsidRPr="00F95D22">
                            <w:rPr>
                              <w:rFonts w:ascii="Tahoma" w:eastAsia="Tahoma" w:hAnsi="Tahoma" w:cs="Tahoma"/>
                              <w:b/>
                              <w:color w:val="404040"/>
                              <w:sz w:val="16"/>
                              <w:szCs w:val="20"/>
                            </w:rPr>
                            <w:t>República Argentina</w:t>
                          </w:r>
                        </w:p>
                        <w:p w14:paraId="2907099B" w14:textId="77777777" w:rsidR="00A65666" w:rsidRPr="00F95D22" w:rsidRDefault="00A65666" w:rsidP="00672D47">
                          <w:pPr>
                            <w:spacing w:line="275" w:lineRule="auto"/>
                            <w:textDirection w:val="btLr"/>
                            <w:rPr>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BC84C9" id="Rectángulo 35" o:spid="_x0000_s1026" style="position:absolute;margin-left:68.35pt;margin-top:15.4pt;width:181.5pt;height: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yYzAEAAHgDAAAOAAAAZHJzL2Uyb0RvYy54bWysU1tu2zAQ/C+QOxD8ryUrcZoIloMigYsC&#10;QWsk7QFoirQI8NUlbcnHyVl6sS4p1XHTv6IQQO1LuzPD1fJuMJocBATlbEPns5ISYblrld019Pu3&#10;9fsbSkJktmXaWdHQowj0bnXxbtn7WlSuc7oVQLCJDXXvG9rF6OuiCLwThoWZ88JiUjowLKILu6IF&#10;1mN3o4uqLK+L3kHrwXERAkYfxiRd5f5SCh6/ShlEJLqhiC3mE/K5TWexWrJ6B8x3ik8w2D+gMExZ&#10;HHpq9cAiI3tQf7UyioMLTsYZd6ZwUiouMgdkMy/fsHnumBeZC4oT/Emm8P/a8i+HDRDVNvRyQYll&#10;Bu/oCVX7+WJ3e+0IRlGi3ocaK5/9BiYvoJn4DhJMeiMTMmRZjydZxRAJx2B1WS7woYRj7rq6rW5y&#10;0+L1aw8hfhLOkGQ0FBBAVpMdHkPEiVj6uyQNs26ttM5Xp+0fASxMkSIBHiEmKw7bYcK9de0RCQfP&#10;1wpnPbIQNwzwyueU9LgGDQ0/9gwEJfqzRZ1v51cVChOzc7X4UCINOM9szzPM8s7hdkVKRvM+5l0b&#10;MX7cRydV5pNQjVAmsHi9mea0iml/zv1c9frDrH4BAAD//wMAUEsDBBQABgAIAAAAIQCNMX5C3AAA&#10;AAoBAAAPAAAAZHJzL2Rvd25yZXYueG1sTI/NTsMwEITvSLyDtUjcqN0fAknjVAjBgSNpDxzdeEmi&#10;2usodtr07VlOcJyd0ew35W72TpxxjH0gDcuFAoHUBNtTq+Gwf394BhGTIWtcINRwxQi76vamNIUN&#10;F/rEc51awSUUC6OhS2kopIxNh97ERRiQ2PsOozeJ5dhKO5oLl3snV0pl0pue+ENnBnztsDnVk9cw&#10;oLOT29Tqq5FvIy2zj728Pmp9fze/bEEknNNfGH7xGR0qZjqGiWwUjvU6e+KohrXiCRzY5Dkfjuys&#10;8hxkVcr/E6ofAAAA//8DAFBLAQItABQABgAIAAAAIQC2gziS/gAAAOEBAAATAAAAAAAAAAAAAAAA&#10;AAAAAABbQ29udGVudF9UeXBlc10ueG1sUEsBAi0AFAAGAAgAAAAhADj9If/WAAAAlAEAAAsAAAAA&#10;AAAAAAAAAAAALwEAAF9yZWxzLy5yZWxzUEsBAi0AFAAGAAgAAAAhADWOPJjMAQAAeAMAAA4AAAAA&#10;AAAAAAAAAAAALgIAAGRycy9lMm9Eb2MueG1sUEsBAi0AFAAGAAgAAAAhAI0xfkLcAAAACgEAAA8A&#10;AAAAAAAAAAAAAAAAJgQAAGRycy9kb3ducmV2LnhtbFBLBQYAAAAABAAEAPMAAAAvBQAAAAA=&#10;" filled="f" stroked="f">
              <v:textbox inset="2.53958mm,1.2694mm,2.53958mm,1.2694mm">
                <w:txbxContent>
                  <w:p w14:paraId="50CA369A" w14:textId="77777777" w:rsidR="00F95D22" w:rsidRDefault="006517EB" w:rsidP="00F95D22">
                    <w:pPr>
                      <w:spacing w:after="0" w:line="240" w:lineRule="auto"/>
                      <w:jc w:val="center"/>
                      <w:textDirection w:val="btLr"/>
                      <w:rPr>
                        <w:rFonts w:ascii="Tahoma" w:eastAsia="Tahoma" w:hAnsi="Tahoma" w:cs="Tahoma"/>
                        <w:b/>
                        <w:color w:val="404040"/>
                        <w:sz w:val="16"/>
                        <w:szCs w:val="20"/>
                      </w:rPr>
                    </w:pPr>
                    <w:r w:rsidRPr="00F95D22">
                      <w:rPr>
                        <w:rFonts w:ascii="Tahoma" w:eastAsia="Tahoma" w:hAnsi="Tahoma" w:cs="Tahoma"/>
                        <w:b/>
                        <w:color w:val="404040"/>
                        <w:sz w:val="16"/>
                        <w:szCs w:val="20"/>
                      </w:rPr>
                      <w:t>Federación Nacional de</w:t>
                    </w:r>
                  </w:p>
                  <w:p w14:paraId="08E735C9" w14:textId="1824A492" w:rsidR="00A65666" w:rsidRPr="00F95D22" w:rsidRDefault="006517EB" w:rsidP="00F95D22">
                    <w:pPr>
                      <w:spacing w:after="0" w:line="240" w:lineRule="auto"/>
                      <w:jc w:val="center"/>
                      <w:textDirection w:val="btLr"/>
                      <w:rPr>
                        <w:sz w:val="20"/>
                        <w:szCs w:val="20"/>
                      </w:rPr>
                    </w:pPr>
                    <w:r w:rsidRPr="00F95D22">
                      <w:rPr>
                        <w:rFonts w:ascii="Tahoma" w:eastAsia="Tahoma" w:hAnsi="Tahoma" w:cs="Tahoma"/>
                        <w:b/>
                        <w:color w:val="404040"/>
                        <w:sz w:val="16"/>
                        <w:szCs w:val="20"/>
                      </w:rPr>
                      <w:t>Operadores de</w:t>
                    </w:r>
                    <w:r w:rsidR="00F95D22" w:rsidRPr="00F95D22">
                      <w:rPr>
                        <w:rFonts w:ascii="Tahoma" w:eastAsia="Tahoma" w:hAnsi="Tahoma" w:cs="Tahoma"/>
                        <w:b/>
                        <w:color w:val="404040"/>
                        <w:sz w:val="16"/>
                        <w:szCs w:val="20"/>
                      </w:rPr>
                      <w:t xml:space="preserve"> </w:t>
                    </w:r>
                    <w:r w:rsidRPr="00F95D22">
                      <w:rPr>
                        <w:rFonts w:ascii="Tahoma" w:eastAsia="Tahoma" w:hAnsi="Tahoma" w:cs="Tahoma"/>
                        <w:b/>
                        <w:color w:val="404040"/>
                        <w:sz w:val="16"/>
                        <w:szCs w:val="20"/>
                      </w:rPr>
                      <w:t>Mercados Frutihortícolas de la</w:t>
                    </w:r>
                    <w:r w:rsidR="00672D47" w:rsidRPr="00F95D22">
                      <w:rPr>
                        <w:rFonts w:ascii="Tahoma" w:eastAsia="Tahoma" w:hAnsi="Tahoma" w:cs="Tahoma"/>
                        <w:b/>
                        <w:color w:val="404040"/>
                        <w:sz w:val="16"/>
                        <w:szCs w:val="20"/>
                      </w:rPr>
                      <w:t xml:space="preserve"> </w:t>
                    </w:r>
                    <w:r w:rsidRPr="00F95D22">
                      <w:rPr>
                        <w:rFonts w:ascii="Tahoma" w:eastAsia="Tahoma" w:hAnsi="Tahoma" w:cs="Tahoma"/>
                        <w:b/>
                        <w:color w:val="404040"/>
                        <w:sz w:val="16"/>
                        <w:szCs w:val="20"/>
                      </w:rPr>
                      <w:t>República Argentina</w:t>
                    </w:r>
                  </w:p>
                  <w:p w14:paraId="2907099B" w14:textId="77777777" w:rsidR="00A65666" w:rsidRPr="00F95D22" w:rsidRDefault="00A65666" w:rsidP="00672D47">
                    <w:pPr>
                      <w:spacing w:line="275" w:lineRule="auto"/>
                      <w:textDirection w:val="btLr"/>
                      <w:rPr>
                        <w:sz w:val="20"/>
                        <w:szCs w:val="20"/>
                      </w:rPr>
                    </w:pPr>
                  </w:p>
                </w:txbxContent>
              </v:textbox>
              <w10:wrap anchorx="margin"/>
            </v:rect>
          </w:pict>
        </mc:Fallback>
      </mc:AlternateContent>
    </w:r>
  </w:p>
  <w:p w14:paraId="63E46D7D" w14:textId="77777777" w:rsidR="00A65666" w:rsidRDefault="00A65666">
    <w:pPr>
      <w:pBdr>
        <w:top w:val="nil"/>
        <w:left w:val="nil"/>
        <w:bottom w:val="nil"/>
        <w:right w:val="nil"/>
        <w:between w:val="nil"/>
      </w:pBdr>
      <w:tabs>
        <w:tab w:val="center" w:pos="4252"/>
        <w:tab w:val="right" w:pos="8504"/>
      </w:tabs>
      <w:rPr>
        <w:rFonts w:ascii="Poppins" w:eastAsia="Poppins" w:hAnsi="Poppins" w:cs="Poppins"/>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66"/>
    <w:rsid w:val="00052D82"/>
    <w:rsid w:val="00053CCE"/>
    <w:rsid w:val="000C34E7"/>
    <w:rsid w:val="000C770B"/>
    <w:rsid w:val="000E3309"/>
    <w:rsid w:val="00111287"/>
    <w:rsid w:val="0016283D"/>
    <w:rsid w:val="00240539"/>
    <w:rsid w:val="002A0A8D"/>
    <w:rsid w:val="002F3E99"/>
    <w:rsid w:val="00336590"/>
    <w:rsid w:val="00347ED4"/>
    <w:rsid w:val="00363BC5"/>
    <w:rsid w:val="003F42C9"/>
    <w:rsid w:val="004439DE"/>
    <w:rsid w:val="004E5F04"/>
    <w:rsid w:val="0059186E"/>
    <w:rsid w:val="005C56B7"/>
    <w:rsid w:val="0061111E"/>
    <w:rsid w:val="00613CAE"/>
    <w:rsid w:val="0062547C"/>
    <w:rsid w:val="006402CE"/>
    <w:rsid w:val="006517EB"/>
    <w:rsid w:val="00672D47"/>
    <w:rsid w:val="006C1418"/>
    <w:rsid w:val="00783057"/>
    <w:rsid w:val="007F4990"/>
    <w:rsid w:val="00831C6A"/>
    <w:rsid w:val="00834B7E"/>
    <w:rsid w:val="00897A59"/>
    <w:rsid w:val="008A56AD"/>
    <w:rsid w:val="0099720F"/>
    <w:rsid w:val="00A65666"/>
    <w:rsid w:val="00AC55E2"/>
    <w:rsid w:val="00B56EBF"/>
    <w:rsid w:val="00B7352A"/>
    <w:rsid w:val="00BC064D"/>
    <w:rsid w:val="00BD750D"/>
    <w:rsid w:val="00C202E0"/>
    <w:rsid w:val="00CB03A9"/>
    <w:rsid w:val="00CE4B6B"/>
    <w:rsid w:val="00CF02C9"/>
    <w:rsid w:val="00D32EA0"/>
    <w:rsid w:val="00D422D9"/>
    <w:rsid w:val="00DE1BFF"/>
    <w:rsid w:val="00DE5374"/>
    <w:rsid w:val="00E37253"/>
    <w:rsid w:val="00EF067A"/>
    <w:rsid w:val="00F05C29"/>
    <w:rsid w:val="00F95D22"/>
    <w:rsid w:val="00FA7BB9"/>
    <w:rsid w:val="00FD28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6445AD"/>
  <w15:docId w15:val="{392BF5A2-6386-478C-9A24-80EBF806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978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891"/>
  </w:style>
  <w:style w:type="paragraph" w:styleId="Piedepgina">
    <w:name w:val="footer"/>
    <w:basedOn w:val="Normal"/>
    <w:link w:val="PiedepginaCar"/>
    <w:uiPriority w:val="99"/>
    <w:unhideWhenUsed/>
    <w:rsid w:val="00A978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891"/>
  </w:style>
  <w:style w:type="character" w:styleId="Hipervnculo">
    <w:name w:val="Hyperlink"/>
    <w:basedOn w:val="Fuentedeprrafopredeter"/>
    <w:uiPriority w:val="99"/>
    <w:unhideWhenUsed/>
    <w:rsid w:val="006402CE"/>
    <w:rPr>
      <w:color w:val="0000FF" w:themeColor="hyperlink"/>
      <w:u w:val="single"/>
    </w:rPr>
  </w:style>
  <w:style w:type="character" w:styleId="Mencinsinresolver">
    <w:name w:val="Unresolved Mention"/>
    <w:basedOn w:val="Fuentedeprrafopredeter"/>
    <w:uiPriority w:val="99"/>
    <w:semiHidden/>
    <w:unhideWhenUsed/>
    <w:rsid w:val="00640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5433">
      <w:bodyDiv w:val="1"/>
      <w:marLeft w:val="0"/>
      <w:marRight w:val="0"/>
      <w:marTop w:val="0"/>
      <w:marBottom w:val="0"/>
      <w:divBdr>
        <w:top w:val="none" w:sz="0" w:space="0" w:color="auto"/>
        <w:left w:val="none" w:sz="0" w:space="0" w:color="auto"/>
        <w:bottom w:val="none" w:sz="0" w:space="0" w:color="auto"/>
        <w:right w:val="none" w:sz="0" w:space="0" w:color="auto"/>
      </w:divBdr>
    </w:div>
    <w:div w:id="1556047433">
      <w:bodyDiv w:val="1"/>
      <w:marLeft w:val="0"/>
      <w:marRight w:val="0"/>
      <w:marTop w:val="0"/>
      <w:marBottom w:val="0"/>
      <w:divBdr>
        <w:top w:val="none" w:sz="0" w:space="0" w:color="auto"/>
        <w:left w:val="none" w:sz="0" w:space="0" w:color="auto"/>
        <w:bottom w:val="none" w:sz="0" w:space="0" w:color="auto"/>
        <w:right w:val="none" w:sz="0" w:space="0" w:color="auto"/>
      </w:divBdr>
    </w:div>
    <w:div w:id="1872113422">
      <w:bodyDiv w:val="1"/>
      <w:marLeft w:val="0"/>
      <w:marRight w:val="0"/>
      <w:marTop w:val="0"/>
      <w:marBottom w:val="0"/>
      <w:divBdr>
        <w:top w:val="none" w:sz="0" w:space="0" w:color="auto"/>
        <w:left w:val="none" w:sz="0" w:space="0" w:color="auto"/>
        <w:bottom w:val="none" w:sz="0" w:space="0" w:color="auto"/>
        <w:right w:val="none" w:sz="0" w:space="0" w:color="auto"/>
      </w:divBdr>
    </w:div>
    <w:div w:id="1989280209">
      <w:bodyDiv w:val="1"/>
      <w:marLeft w:val="0"/>
      <w:marRight w:val="0"/>
      <w:marTop w:val="0"/>
      <w:marBottom w:val="0"/>
      <w:divBdr>
        <w:top w:val="none" w:sz="0" w:space="0" w:color="auto"/>
        <w:left w:val="none" w:sz="0" w:space="0" w:color="auto"/>
        <w:bottom w:val="none" w:sz="0" w:space="0" w:color="auto"/>
        <w:right w:val="none" w:sz="0" w:space="0" w:color="auto"/>
      </w:divBdr>
      <w:divsChild>
        <w:div w:id="1430589674">
          <w:marLeft w:val="0"/>
          <w:marRight w:val="0"/>
          <w:marTop w:val="0"/>
          <w:marBottom w:val="0"/>
          <w:divBdr>
            <w:top w:val="none" w:sz="0" w:space="0" w:color="auto"/>
            <w:left w:val="none" w:sz="0" w:space="0" w:color="auto"/>
            <w:bottom w:val="single" w:sz="6" w:space="3" w:color="EEEFF2"/>
            <w:right w:val="none" w:sz="0" w:space="0" w:color="auto"/>
          </w:divBdr>
          <w:divsChild>
            <w:div w:id="16398062">
              <w:marLeft w:val="-225"/>
              <w:marRight w:val="-225"/>
              <w:marTop w:val="0"/>
              <w:marBottom w:val="225"/>
              <w:divBdr>
                <w:top w:val="none" w:sz="0" w:space="0" w:color="auto"/>
                <w:left w:val="none" w:sz="0" w:space="0" w:color="auto"/>
                <w:bottom w:val="none" w:sz="0" w:space="0" w:color="auto"/>
                <w:right w:val="none" w:sz="0" w:space="0" w:color="auto"/>
              </w:divBdr>
              <w:divsChild>
                <w:div w:id="6826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fenaomfra.org.ar/"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enaomfra.org.ar" TargetMode="External"/><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kdWor/66flmosFB1ldc2T1/Cw==">AMUW2mXNnrQGEHJiN2gQVjWiFZ/xzZoiIB67Jlb34F+qTVxJX/I8JQnZ7OqvAnwmhA29cSNgeDxkrt6LAeI7SAqH1lX2ntgTFQtLvlA7CgyE8uKEa7kWa3wpXKDBw9Cn6XCle0YZ9fRt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676</Words>
  <Characters>3723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EM5</dc:creator>
  <cp:lastModifiedBy>Mauricio Bonino</cp:lastModifiedBy>
  <cp:revision>4</cp:revision>
  <dcterms:created xsi:type="dcterms:W3CDTF">2021-09-20T14:33:00Z</dcterms:created>
  <dcterms:modified xsi:type="dcterms:W3CDTF">2021-12-29T19:00:00Z</dcterms:modified>
</cp:coreProperties>
</file>