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329D" w14:textId="7AF9E382" w:rsidR="00363BC5" w:rsidRDefault="00363BC5" w:rsidP="00363BC5">
      <w:pPr>
        <w:spacing w:after="135"/>
        <w:rPr>
          <w:rFonts w:ascii="Quattrocento Sans" w:eastAsia="Quattrocento Sans" w:hAnsi="Quattrocento Sans" w:cs="Quattrocento Sans"/>
          <w:i/>
          <w:color w:val="333333"/>
        </w:rPr>
      </w:pPr>
      <w:r>
        <w:rPr>
          <w:rFonts w:ascii="Quattrocento Sans" w:eastAsia="Quattrocento Sans" w:hAnsi="Quattrocento Sans" w:cs="Quattrocento Sans"/>
          <w:i/>
          <w:color w:val="333333"/>
        </w:rPr>
        <w:t>Gacetilla 07</w:t>
      </w:r>
      <w:r w:rsidR="00C202E0">
        <w:rPr>
          <w:rFonts w:ascii="Quattrocento Sans" w:eastAsia="Quattrocento Sans" w:hAnsi="Quattrocento Sans" w:cs="Quattrocento Sans"/>
          <w:i/>
          <w:color w:val="333333"/>
        </w:rPr>
        <w:t>4</w:t>
      </w:r>
    </w:p>
    <w:p w14:paraId="01057C58" w14:textId="453CDF6E" w:rsidR="00363BC5" w:rsidRDefault="00C202E0" w:rsidP="00363BC5">
      <w:pPr>
        <w:spacing w:after="135"/>
        <w:rPr>
          <w:rFonts w:ascii="Quattrocento Sans" w:eastAsia="Quattrocento Sans" w:hAnsi="Quattrocento Sans" w:cs="Quattrocento Sans"/>
          <w:i/>
          <w:color w:val="333333"/>
        </w:rPr>
      </w:pPr>
      <w:r>
        <w:rPr>
          <w:rFonts w:ascii="Quattrocento Sans" w:eastAsia="Quattrocento Sans" w:hAnsi="Quattrocento Sans" w:cs="Quattrocento Sans"/>
          <w:i/>
          <w:color w:val="333333"/>
        </w:rPr>
        <w:t>28 de agosto 2021</w:t>
      </w:r>
    </w:p>
    <w:p w14:paraId="4A7FDE23" w14:textId="2E7CA0A7" w:rsidR="00363BC5" w:rsidRDefault="00831C6A" w:rsidP="00363BC5">
      <w:pPr>
        <w:rPr>
          <w:b/>
          <w:sz w:val="28"/>
        </w:rPr>
      </w:pPr>
      <w:r>
        <w:rPr>
          <w:b/>
          <w:sz w:val="28"/>
        </w:rPr>
        <w:t xml:space="preserve">34° Asamblea General Ordinaria de </w:t>
      </w:r>
      <w:r w:rsidR="00363BC5">
        <w:rPr>
          <w:b/>
          <w:sz w:val="28"/>
        </w:rPr>
        <w:t>Fenaomfra</w:t>
      </w:r>
    </w:p>
    <w:p w14:paraId="41A462CA" w14:textId="627375CC" w:rsidR="00B7352A" w:rsidRDefault="00363BC5" w:rsidP="00363BC5">
      <w:r>
        <w:t>E</w:t>
      </w:r>
      <w:r w:rsidR="00783057">
        <w:t xml:space="preserve">l sábado </w:t>
      </w:r>
      <w:r w:rsidR="00B7352A">
        <w:t>28 de agosto</w:t>
      </w:r>
      <w:r w:rsidR="00783057">
        <w:t xml:space="preserve"> se celebró, en la ciudad de Córdoba, la 34° Asamblea General Ordinaria de Fenaomfra. S</w:t>
      </w:r>
      <w:r w:rsidR="00B7352A">
        <w:t>e llevó a cabo de manera semivirtual</w:t>
      </w:r>
      <w:r w:rsidR="00783057">
        <w:t>, estuvieron</w:t>
      </w:r>
      <w:r w:rsidR="00BC064D">
        <w:t xml:space="preserve"> presentes</w:t>
      </w:r>
      <w:r w:rsidR="00B7352A">
        <w:t xml:space="preserve"> </w:t>
      </w:r>
      <w:r w:rsidR="00D32EA0">
        <w:t>25 representantes de los mercados asociados de todo el país y cuatro</w:t>
      </w:r>
      <w:r w:rsidR="00BC064D">
        <w:t xml:space="preserve"> se incorporaron de manera virtual. </w:t>
      </w:r>
      <w:r w:rsidR="00D32EA0">
        <w:t xml:space="preserve"> </w:t>
      </w:r>
    </w:p>
    <w:p w14:paraId="1596B2A4" w14:textId="493568A8" w:rsidR="00D32EA0" w:rsidRDefault="00D32EA0" w:rsidP="00363BC5">
      <w:r>
        <w:t xml:space="preserve">Durante el encuentro </w:t>
      </w:r>
      <w:r w:rsidR="00BD750D">
        <w:t xml:space="preserve">se </w:t>
      </w:r>
      <w:r w:rsidR="00BC064D">
        <w:t>realizó el nombramiento de las nuevas autoridades</w:t>
      </w:r>
      <w:r w:rsidR="00783057">
        <w:t xml:space="preserve"> que integrarán </w:t>
      </w:r>
      <w:r w:rsidR="00BD750D">
        <w:t>la Comisión Directiva</w:t>
      </w:r>
      <w:r w:rsidR="00BC064D">
        <w:t xml:space="preserve">. Entre ellos </w:t>
      </w:r>
      <w:r w:rsidR="00BC064D" w:rsidRPr="00BD750D">
        <w:t>Enríquez Eduardo Luis</w:t>
      </w:r>
      <w:r w:rsidR="00BC064D">
        <w:t xml:space="preserve">, representante del Mercado Concentrador del Neuquén, quien asumió como Prosecretario y </w:t>
      </w:r>
      <w:proofErr w:type="spellStart"/>
      <w:r w:rsidR="00BC064D">
        <w:t>Pezzelatto</w:t>
      </w:r>
      <w:proofErr w:type="spellEnd"/>
      <w:r w:rsidR="00BC064D">
        <w:t xml:space="preserve"> Natalia, representante de la </w:t>
      </w:r>
      <w:r w:rsidR="00BC064D" w:rsidRPr="00BC064D">
        <w:t>Cámara de Productores y Operadores Frutihortícolas de Mar del Plata (</w:t>
      </w:r>
      <w:proofErr w:type="spellStart"/>
      <w:r w:rsidR="00BC064D" w:rsidRPr="00BC064D">
        <w:t>Campofrut</w:t>
      </w:r>
      <w:proofErr w:type="spellEnd"/>
      <w:r w:rsidR="00BC064D" w:rsidRPr="00BC064D">
        <w:t>)</w:t>
      </w:r>
      <w:r w:rsidR="00BC064D">
        <w:t xml:space="preserve">, que tomó el cargo de Vocal Primera. A su vez, la entidad </w:t>
      </w:r>
      <w:proofErr w:type="spellStart"/>
      <w:r w:rsidR="00BC064D">
        <w:t>marplantense</w:t>
      </w:r>
      <w:proofErr w:type="spellEnd"/>
      <w:r w:rsidR="00BC064D">
        <w:t xml:space="preserve"> se incorporó oficialmente a </w:t>
      </w:r>
      <w:proofErr w:type="spellStart"/>
      <w:r w:rsidR="00BC064D">
        <w:t>Fenaomfra</w:t>
      </w:r>
      <w:proofErr w:type="spellEnd"/>
      <w:r w:rsidR="00BC064D">
        <w:t xml:space="preserve"> y </w:t>
      </w:r>
      <w:proofErr w:type="spellStart"/>
      <w:r w:rsidR="00BC064D">
        <w:t>Pezzelatto</w:t>
      </w:r>
      <w:proofErr w:type="spellEnd"/>
      <w:r w:rsidR="00BC064D">
        <w:t xml:space="preserve">, fue la encargada de firmar este hecho junto al presidente de la Federación, Carlos </w:t>
      </w:r>
      <w:proofErr w:type="spellStart"/>
      <w:r w:rsidR="00BC064D">
        <w:t>Otrino</w:t>
      </w:r>
      <w:proofErr w:type="spellEnd"/>
      <w:r w:rsidR="00BC064D">
        <w:t xml:space="preserve">. </w:t>
      </w:r>
    </w:p>
    <w:p w14:paraId="6DC91655" w14:textId="41F0D889" w:rsidR="00BC064D" w:rsidRDefault="00BC064D" w:rsidP="00363BC5">
      <w:r>
        <w:t>Listado de autoridades:</w:t>
      </w:r>
    </w:p>
    <w:p w14:paraId="4BB018F6" w14:textId="77777777" w:rsidR="00834B7E" w:rsidRDefault="00834B7E" w:rsidP="00834B7E">
      <w:pPr>
        <w:pStyle w:val="Ttulo2"/>
        <w:pBdr>
          <w:bottom w:val="single" w:sz="6" w:space="8" w:color="DFDFDF"/>
        </w:pBdr>
        <w:shd w:val="clear" w:color="auto" w:fill="FFFFFF"/>
        <w:spacing w:before="150" w:after="300"/>
        <w:rPr>
          <w:rFonts w:ascii="Tahoma" w:hAnsi="Tahoma" w:cs="Tahoma"/>
          <w:color w:val="111111"/>
          <w:sz w:val="29"/>
          <w:szCs w:val="29"/>
        </w:rPr>
      </w:pPr>
      <w:r>
        <w:rPr>
          <w:rFonts w:ascii="Tahoma" w:hAnsi="Tahoma" w:cs="Tahoma"/>
          <w:color w:val="111111"/>
          <w:sz w:val="29"/>
          <w:szCs w:val="29"/>
        </w:rPr>
        <w:t>Comisión Directiva</w:t>
      </w: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2904"/>
        <w:gridCol w:w="4148"/>
      </w:tblGrid>
      <w:tr w:rsidR="00834B7E" w14:paraId="0FB392E7" w14:textId="77777777" w:rsidTr="00834B7E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A7653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Presidente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A29A4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20"/>
                <w:szCs w:val="20"/>
              </w:rPr>
              <w:t>Otrino</w:t>
            </w:r>
            <w:proofErr w:type="spellEnd"/>
            <w:r>
              <w:rPr>
                <w:rFonts w:ascii="Tahoma" w:hAnsi="Tahoma" w:cs="Tahoma"/>
                <w:color w:val="111111"/>
                <w:sz w:val="20"/>
                <w:szCs w:val="20"/>
              </w:rPr>
              <w:t>, Carlos Roberto Daniel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C4A19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Mercado de Productores y Abastecedores de Frutas, Verduras y Hortalizas de Santa Fe S.A.</w:t>
            </w:r>
          </w:p>
        </w:tc>
      </w:tr>
      <w:tr w:rsidR="00834B7E" w14:paraId="64E0B351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75805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Vicepresidente 1º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8A92F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r>
              <w:rPr>
                <w:rFonts w:ascii="Tahoma" w:hAnsi="Tahoma" w:cs="Tahoma"/>
                <w:color w:val="111111"/>
                <w:sz w:val="20"/>
                <w:szCs w:val="20"/>
              </w:rPr>
              <w:t>Medina, Juan Carlos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F432B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Mercado de Concentración Frutihortícola de Tucumán</w:t>
            </w:r>
          </w:p>
        </w:tc>
      </w:tr>
      <w:tr w:rsidR="00834B7E" w14:paraId="4A33B50F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C1D71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Vicepresidente 2º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24AEC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r>
              <w:rPr>
                <w:rFonts w:ascii="Tahoma" w:hAnsi="Tahoma" w:cs="Tahoma"/>
                <w:color w:val="111111"/>
                <w:sz w:val="20"/>
                <w:szCs w:val="20"/>
              </w:rPr>
              <w:t>Flores, Eduardo Lucio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11588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Cooperativa Mercado Concentrador Frutihortícola de Santiago del Estero</w:t>
            </w:r>
          </w:p>
        </w:tc>
      </w:tr>
      <w:tr w:rsidR="00834B7E" w14:paraId="17107926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5D232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Secretario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DA886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20"/>
                <w:szCs w:val="20"/>
              </w:rPr>
              <w:t>Suleta</w:t>
            </w:r>
            <w:proofErr w:type="spellEnd"/>
            <w:r>
              <w:rPr>
                <w:rFonts w:ascii="Tahoma" w:hAnsi="Tahoma" w:cs="Tahoma"/>
                <w:color w:val="111111"/>
                <w:sz w:val="20"/>
                <w:szCs w:val="20"/>
              </w:rPr>
              <w:t>, Gustavo Arturo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6E6CA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Mercado De Productores De Rosario</w:t>
            </w:r>
          </w:p>
        </w:tc>
      </w:tr>
      <w:tr w:rsidR="00834B7E" w14:paraId="47A0B786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46F42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Prosecretario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D299E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r>
              <w:rPr>
                <w:rFonts w:ascii="Tahoma" w:hAnsi="Tahoma" w:cs="Tahoma"/>
                <w:color w:val="111111"/>
                <w:sz w:val="20"/>
                <w:szCs w:val="20"/>
              </w:rPr>
              <w:t>Enríquez, Eduardo Luis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268F1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Mercado Concentrador del Neuquén</w:t>
            </w:r>
          </w:p>
        </w:tc>
      </w:tr>
      <w:tr w:rsidR="00834B7E" w14:paraId="0E197599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D5E93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Tesorero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237DF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r>
              <w:rPr>
                <w:rFonts w:ascii="Tahoma" w:hAnsi="Tahoma" w:cs="Tahoma"/>
                <w:color w:val="111111"/>
                <w:sz w:val="20"/>
                <w:szCs w:val="20"/>
              </w:rPr>
              <w:t>Fernández, Víctor Hugo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63343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Mercado de Abasto de Villa María SEM</w:t>
            </w:r>
          </w:p>
        </w:tc>
      </w:tr>
      <w:tr w:rsidR="00834B7E" w14:paraId="4349588C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12369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lastRenderedPageBreak/>
              <w:t>Protesorero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828CA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r>
              <w:rPr>
                <w:rFonts w:ascii="Tahoma" w:hAnsi="Tahoma" w:cs="Tahoma"/>
                <w:color w:val="111111"/>
                <w:sz w:val="20"/>
                <w:szCs w:val="20"/>
              </w:rPr>
              <w:t>Perlo, Juan Bautista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1CFB0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Asociación de Productores Hortícolas de Córdoba</w:t>
            </w:r>
          </w:p>
        </w:tc>
      </w:tr>
      <w:tr w:rsidR="00834B7E" w14:paraId="40C9E868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6C2E1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Vocal 1º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F31A5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20"/>
                <w:szCs w:val="20"/>
              </w:rPr>
              <w:t>Pezzelatto</w:t>
            </w:r>
            <w:proofErr w:type="spellEnd"/>
            <w:r>
              <w:rPr>
                <w:rFonts w:ascii="Tahoma" w:hAnsi="Tahoma" w:cs="Tahoma"/>
                <w:color w:val="111111"/>
                <w:sz w:val="20"/>
                <w:szCs w:val="20"/>
              </w:rPr>
              <w:t>, Natalia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03CD2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Cámara de Productores y Operadores Frutihortícolas de Mar del Plata (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Campofrut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>)</w:t>
            </w:r>
          </w:p>
        </w:tc>
      </w:tr>
      <w:tr w:rsidR="00834B7E" w14:paraId="339AFB12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5A664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Vocal 2º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CFE2E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r>
              <w:rPr>
                <w:rFonts w:ascii="Tahoma" w:hAnsi="Tahoma" w:cs="Tahoma"/>
                <w:color w:val="111111"/>
                <w:sz w:val="20"/>
                <w:szCs w:val="20"/>
              </w:rPr>
              <w:t xml:space="preserve">Berra, Osvaldo </w:t>
            </w:r>
            <w:proofErr w:type="spellStart"/>
            <w:r>
              <w:rPr>
                <w:rFonts w:ascii="Tahoma" w:hAnsi="Tahoma" w:cs="Tahoma"/>
                <w:color w:val="111111"/>
                <w:sz w:val="20"/>
                <w:szCs w:val="20"/>
              </w:rPr>
              <w:t>Delfort</w:t>
            </w:r>
            <w:proofErr w:type="spellEnd"/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FF8DD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Mercado de Abasto Córdoba</w:t>
            </w:r>
          </w:p>
        </w:tc>
      </w:tr>
      <w:tr w:rsidR="00834B7E" w14:paraId="72DCF235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EB1A3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Vocal 3º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119AB8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r>
              <w:rPr>
                <w:rFonts w:ascii="Tahoma" w:hAnsi="Tahoma" w:cs="Tahoma"/>
                <w:color w:val="111111"/>
                <w:sz w:val="20"/>
                <w:szCs w:val="20"/>
              </w:rPr>
              <w:t>Vega, Enrique Emilio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98340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Cooperativa de Provisión y Servicios de Productores y Comerciantes de Frutas, Hortalizas y Afines de Salta Limitada.</w:t>
            </w:r>
          </w:p>
        </w:tc>
      </w:tr>
      <w:tr w:rsidR="00834B7E" w14:paraId="58805682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4D1CB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Vocal 4º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11A02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r>
              <w:rPr>
                <w:rFonts w:ascii="Tahoma" w:hAnsi="Tahoma" w:cs="Tahoma"/>
                <w:color w:val="111111"/>
                <w:sz w:val="20"/>
                <w:szCs w:val="20"/>
              </w:rPr>
              <w:t>Basile, Edgardo Ramón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FA095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Mercado Cooperativo de Guaymallén</w:t>
            </w:r>
          </w:p>
        </w:tc>
      </w:tr>
      <w:tr w:rsidR="00834B7E" w14:paraId="6F12A63B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3A606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Vocal Suplente 1º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50421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20"/>
                <w:szCs w:val="20"/>
              </w:rPr>
              <w:t>Stavole</w:t>
            </w:r>
            <w:proofErr w:type="spellEnd"/>
            <w:r>
              <w:rPr>
                <w:rFonts w:ascii="Tahoma" w:hAnsi="Tahoma" w:cs="Tahoma"/>
                <w:color w:val="111111"/>
                <w:sz w:val="20"/>
                <w:szCs w:val="20"/>
              </w:rPr>
              <w:t>, Diego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C3890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Cámara de Fruteros y Anexos de Santa Fe</w:t>
            </w:r>
          </w:p>
        </w:tc>
      </w:tr>
      <w:tr w:rsidR="00834B7E" w14:paraId="551B6259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00EEF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9B714" w14:textId="77777777" w:rsidR="00834B7E" w:rsidRDefault="00834B7E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11BFB" w14:textId="77777777" w:rsidR="00834B7E" w:rsidRDefault="00834B7E">
            <w:pPr>
              <w:spacing w:after="240"/>
              <w:rPr>
                <w:sz w:val="20"/>
                <w:szCs w:val="20"/>
              </w:rPr>
            </w:pPr>
          </w:p>
        </w:tc>
      </w:tr>
    </w:tbl>
    <w:p w14:paraId="1698C06F" w14:textId="77777777" w:rsidR="00834B7E" w:rsidRDefault="00834B7E" w:rsidP="00834B7E">
      <w:pPr>
        <w:pStyle w:val="Ttulo2"/>
        <w:pBdr>
          <w:bottom w:val="single" w:sz="6" w:space="8" w:color="DFDFDF"/>
        </w:pBdr>
        <w:shd w:val="clear" w:color="auto" w:fill="FFFFFF"/>
        <w:spacing w:before="150" w:after="300"/>
        <w:rPr>
          <w:rFonts w:ascii="Tahoma" w:hAnsi="Tahoma" w:cs="Tahoma"/>
          <w:color w:val="111111"/>
          <w:sz w:val="29"/>
          <w:szCs w:val="29"/>
        </w:rPr>
      </w:pPr>
      <w:r>
        <w:rPr>
          <w:rFonts w:ascii="Tahoma" w:hAnsi="Tahoma" w:cs="Tahoma"/>
          <w:color w:val="111111"/>
          <w:sz w:val="29"/>
          <w:szCs w:val="29"/>
        </w:rPr>
        <w:t>Comisión fiscalizadora</w:t>
      </w: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2904"/>
        <w:gridCol w:w="4148"/>
      </w:tblGrid>
      <w:tr w:rsidR="00834B7E" w14:paraId="2A3E9286" w14:textId="77777777" w:rsidTr="00834B7E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B1C77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Vocal 1º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FFFA3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20"/>
                <w:szCs w:val="20"/>
              </w:rPr>
              <w:t>Sisino</w:t>
            </w:r>
            <w:proofErr w:type="spellEnd"/>
            <w:r>
              <w:rPr>
                <w:rFonts w:ascii="Tahoma" w:hAnsi="Tahoma" w:cs="Tahoma"/>
                <w:color w:val="111111"/>
                <w:sz w:val="20"/>
                <w:szCs w:val="20"/>
              </w:rPr>
              <w:t>, Marcela Alejandra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ED42D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Mercado de Concentración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Fisherton</w:t>
            </w:r>
            <w:proofErr w:type="spellEnd"/>
          </w:p>
        </w:tc>
      </w:tr>
      <w:tr w:rsidR="00834B7E" w14:paraId="153C9B4A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7DFCB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Vocal 2º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142AB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r>
              <w:rPr>
                <w:rFonts w:ascii="Tahoma" w:hAnsi="Tahoma" w:cs="Tahoma"/>
                <w:color w:val="111111"/>
                <w:sz w:val="20"/>
                <w:szCs w:val="20"/>
              </w:rPr>
              <w:t>Calvo, Leandro Xavier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75E61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Mercado de Abasto de Río Cuarto</w:t>
            </w:r>
          </w:p>
        </w:tc>
      </w:tr>
      <w:tr w:rsidR="00834B7E" w14:paraId="2913B2B2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1683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Vocal 3º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27503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20"/>
                <w:szCs w:val="20"/>
              </w:rPr>
              <w:t>Senestro</w:t>
            </w:r>
            <w:proofErr w:type="spellEnd"/>
            <w:r>
              <w:rPr>
                <w:rFonts w:ascii="Tahoma" w:hAnsi="Tahoma" w:cs="Tahoma"/>
                <w:color w:val="111111"/>
                <w:sz w:val="20"/>
                <w:szCs w:val="20"/>
              </w:rPr>
              <w:t>, Eduardo Martín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FAA44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Cámara de Fruteros del Mercado de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Fisherton</w:t>
            </w:r>
            <w:proofErr w:type="spellEnd"/>
          </w:p>
        </w:tc>
      </w:tr>
      <w:tr w:rsidR="00834B7E" w14:paraId="10E7FAE1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B0EC8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Vocal suplente 1°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310BB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20"/>
                <w:szCs w:val="20"/>
              </w:rPr>
              <w:t>Cecive</w:t>
            </w:r>
            <w:proofErr w:type="spellEnd"/>
            <w:r>
              <w:rPr>
                <w:rFonts w:ascii="Tahoma" w:hAnsi="Tahoma" w:cs="Tahoma"/>
                <w:color w:val="111111"/>
                <w:sz w:val="20"/>
                <w:szCs w:val="20"/>
              </w:rPr>
              <w:t>, Guido Exequiel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5BC5C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Mercado Concentrador de Frutas y Hortalizas </w:t>
            </w:r>
            <w:proofErr w:type="spellStart"/>
            <w:r>
              <w:rPr>
                <w:rFonts w:ascii="Tahoma" w:hAnsi="Tahoma" w:cs="Tahoma"/>
                <w:color w:val="111111"/>
                <w:sz w:val="18"/>
                <w:szCs w:val="18"/>
              </w:rPr>
              <w:t>Procosud</w:t>
            </w:r>
            <w:proofErr w:type="spellEnd"/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S.A.</w:t>
            </w:r>
          </w:p>
        </w:tc>
      </w:tr>
      <w:tr w:rsidR="00834B7E" w14:paraId="1434FFAB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03AF8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Vocal suplente 2º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2FC88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20"/>
                <w:szCs w:val="20"/>
              </w:rPr>
              <w:t>Rivilli</w:t>
            </w:r>
            <w:proofErr w:type="spellEnd"/>
            <w:r>
              <w:rPr>
                <w:rFonts w:ascii="Tahoma" w:hAnsi="Tahoma" w:cs="Tahoma"/>
                <w:color w:val="111111"/>
                <w:sz w:val="20"/>
                <w:szCs w:val="20"/>
              </w:rPr>
              <w:t>, Juan José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ECF57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Mercado de San Miguel de Malagueño</w:t>
            </w:r>
          </w:p>
        </w:tc>
      </w:tr>
      <w:tr w:rsidR="00834B7E" w14:paraId="53F3BF98" w14:textId="77777777" w:rsidTr="00834B7E">
        <w:tc>
          <w:tcPr>
            <w:tcW w:w="21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DD351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10C66" w14:textId="77777777" w:rsidR="00834B7E" w:rsidRDefault="00834B7E">
            <w:pPr>
              <w:spacing w:after="240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Vocal suplente 3º</w:t>
            </w:r>
          </w:p>
        </w:tc>
        <w:tc>
          <w:tcPr>
            <w:tcW w:w="262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BCBCB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5979E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111111"/>
                <w:sz w:val="20"/>
                <w:szCs w:val="20"/>
              </w:rPr>
              <w:t>Bevilacqua</w:t>
            </w:r>
            <w:proofErr w:type="spellEnd"/>
            <w:r>
              <w:rPr>
                <w:rFonts w:ascii="Tahoma" w:hAnsi="Tahoma" w:cs="Tahoma"/>
                <w:color w:val="111111"/>
                <w:sz w:val="20"/>
                <w:szCs w:val="20"/>
              </w:rPr>
              <w:t>, Nicolás Oscar</w:t>
            </w:r>
          </w:p>
        </w:tc>
        <w:tc>
          <w:tcPr>
            <w:tcW w:w="375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5E5E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67E30" w14:textId="77777777" w:rsidR="00834B7E" w:rsidRDefault="00834B7E">
            <w:pPr>
              <w:spacing w:after="240"/>
              <w:rPr>
                <w:rFonts w:ascii="Tahoma" w:hAnsi="Tahoma" w:cs="Tahoma"/>
                <w:color w:val="111111"/>
                <w:sz w:val="18"/>
                <w:szCs w:val="18"/>
              </w:rPr>
            </w:pPr>
            <w:r>
              <w:rPr>
                <w:rFonts w:ascii="Tahoma" w:hAnsi="Tahoma" w:cs="Tahoma"/>
                <w:color w:val="111111"/>
                <w:sz w:val="18"/>
                <w:szCs w:val="18"/>
              </w:rPr>
              <w:t>Mercado Concentrador El Charrúa S.A.</w:t>
            </w:r>
          </w:p>
        </w:tc>
      </w:tr>
    </w:tbl>
    <w:p w14:paraId="1BAF2F95" w14:textId="77777777" w:rsidR="00834B7E" w:rsidRDefault="00834B7E" w:rsidP="00363BC5"/>
    <w:p w14:paraId="4F6E03BA" w14:textId="77777777" w:rsidR="00834B7E" w:rsidRDefault="00834B7E" w:rsidP="00363BC5"/>
    <w:p w14:paraId="634EDA7C" w14:textId="2AC129D1" w:rsidR="00BD750D" w:rsidRDefault="00BC064D" w:rsidP="00363BC5">
      <w:r>
        <w:t>Una vez finalizada la Asamblea</w:t>
      </w:r>
      <w:r w:rsidR="004E5F04">
        <w:t xml:space="preserve">, se </w:t>
      </w:r>
      <w:r w:rsidR="00831C6A">
        <w:t>desarrolló</w:t>
      </w:r>
      <w:r w:rsidR="004E5F04">
        <w:t xml:space="preserve"> la reunión de la Comisión Directiva. Allí los asambleístas presentes otorgaron un </w:t>
      </w:r>
      <w:r w:rsidR="00BD750D">
        <w:t>reconocimiento a</w:t>
      </w:r>
      <w:r w:rsidR="004E5F04">
        <w:t xml:space="preserve"> aquellos </w:t>
      </w:r>
      <w:r w:rsidR="00BD750D">
        <w:t>dirigentes con más de diez años</w:t>
      </w:r>
      <w:r w:rsidR="004E5F04">
        <w:t xml:space="preserve"> dentro de la Federación. Entre los destacados estuvieron: </w:t>
      </w:r>
      <w:r w:rsidR="00BD750D">
        <w:t>Osvaldo Berra</w:t>
      </w:r>
      <w:r w:rsidR="006C1418">
        <w:t xml:space="preserve"> </w:t>
      </w:r>
      <w:r w:rsidR="00BD750D">
        <w:t>del Mercado de Abasto de Córdoba</w:t>
      </w:r>
      <w:r w:rsidR="004E5F04">
        <w:t>;</w:t>
      </w:r>
      <w:r w:rsidR="006C1418" w:rsidRPr="006C1418">
        <w:t xml:space="preserve"> Juan Perlo</w:t>
      </w:r>
      <w:r w:rsidR="006C1418">
        <w:t xml:space="preserve"> de la Asociación de Productores Hortícolas de Córdoba (</w:t>
      </w:r>
      <w:proofErr w:type="spellStart"/>
      <w:r w:rsidR="006C1418">
        <w:t>Aproduco</w:t>
      </w:r>
      <w:proofErr w:type="spellEnd"/>
      <w:r w:rsidR="006C1418">
        <w:t>);</w:t>
      </w:r>
      <w:r w:rsidR="006C1418" w:rsidRPr="006C1418">
        <w:t xml:space="preserve"> </w:t>
      </w:r>
      <w:r w:rsidR="00BD750D">
        <w:t>Juan Carlos Medina del Mercado de Concentración Frutihortícola de Tucumán</w:t>
      </w:r>
      <w:r w:rsidR="004E5F04">
        <w:t>;</w:t>
      </w:r>
      <w:r w:rsidR="00BD750D">
        <w:t xml:space="preserve"> Marcela </w:t>
      </w:r>
      <w:proofErr w:type="spellStart"/>
      <w:r w:rsidR="00BD750D">
        <w:t>Sisino</w:t>
      </w:r>
      <w:proofErr w:type="spellEnd"/>
      <w:r w:rsidR="00BD750D">
        <w:t xml:space="preserve"> del Mercado </w:t>
      </w:r>
      <w:r w:rsidR="006C1418">
        <w:t>de Concentración</w:t>
      </w:r>
      <w:r w:rsidR="00BD750D">
        <w:t xml:space="preserve"> de </w:t>
      </w:r>
      <w:proofErr w:type="spellStart"/>
      <w:r w:rsidR="00BD750D">
        <w:t>Fisherton</w:t>
      </w:r>
      <w:proofErr w:type="spellEnd"/>
      <w:r w:rsidR="004E5F04">
        <w:t xml:space="preserve">; </w:t>
      </w:r>
      <w:proofErr w:type="spellStart"/>
      <w:r w:rsidR="00BD750D">
        <w:t>Victor</w:t>
      </w:r>
      <w:proofErr w:type="spellEnd"/>
      <w:r w:rsidR="00BD750D">
        <w:t xml:space="preserve"> Fernández del</w:t>
      </w:r>
      <w:r w:rsidR="006C1418">
        <w:t xml:space="preserve"> Mercado de Abasto de </w:t>
      </w:r>
      <w:r w:rsidR="00BD750D">
        <w:t xml:space="preserve"> Villa María</w:t>
      </w:r>
      <w:r w:rsidR="00FD2835">
        <w:t>;</w:t>
      </w:r>
      <w:r w:rsidR="00BD750D">
        <w:t xml:space="preserve"> Eduardo Flores de</w:t>
      </w:r>
      <w:r w:rsidR="000E3309">
        <w:t xml:space="preserve"> la </w:t>
      </w:r>
      <w:r w:rsidR="000E3309" w:rsidRPr="000E3309">
        <w:t>Cooperativa Mercado Concentrador Frutihortícola de Santiago del Estero</w:t>
      </w:r>
      <w:r w:rsidR="00FD2835">
        <w:t xml:space="preserve"> y Carlos </w:t>
      </w:r>
      <w:proofErr w:type="spellStart"/>
      <w:r w:rsidR="00FD2835">
        <w:t>Otrino</w:t>
      </w:r>
      <w:proofErr w:type="spellEnd"/>
      <w:r w:rsidR="00FD2835">
        <w:t xml:space="preserve">, representante del </w:t>
      </w:r>
      <w:r w:rsidR="00FD2835" w:rsidRPr="00FD2835">
        <w:t>Mercado de Productores y Abastecedores de Frutas, Verduras y Hortalizas de Santa Fe S.A</w:t>
      </w:r>
      <w:r w:rsidR="00FD2835">
        <w:t xml:space="preserve"> y actual presidente de Fenaomfra.</w:t>
      </w:r>
    </w:p>
    <w:p w14:paraId="7FAD53A4" w14:textId="1395C3A3" w:rsidR="00FD2835" w:rsidRDefault="00FD2835" w:rsidP="00363BC5">
      <w:r>
        <w:t xml:space="preserve">Al momento de la entrega, el secretario </w:t>
      </w:r>
      <w:r w:rsidR="000E3309">
        <w:t>de la Federación</w:t>
      </w:r>
      <w:r>
        <w:t xml:space="preserve">, Gustavo </w:t>
      </w:r>
      <w:proofErr w:type="spellStart"/>
      <w:r>
        <w:t>Suleta</w:t>
      </w:r>
      <w:proofErr w:type="spellEnd"/>
      <w:r>
        <w:t xml:space="preserve"> dijo: </w:t>
      </w:r>
      <w:r w:rsidRPr="00FD2835">
        <w:t xml:space="preserve">“Cuando yo llegue a la </w:t>
      </w:r>
      <w:r w:rsidR="000C770B">
        <w:t>F</w:t>
      </w:r>
      <w:r w:rsidRPr="00FD2835">
        <w:t>ederación me abrazaron inmediatamente</w:t>
      </w:r>
      <w:r>
        <w:t>, e</w:t>
      </w:r>
      <w:r w:rsidRPr="00FD2835">
        <w:t>so habla de quienes somos</w:t>
      </w:r>
      <w:r>
        <w:t>. A</w:t>
      </w:r>
      <w:r w:rsidRPr="00FD2835">
        <w:t xml:space="preserve"> las instituciones </w:t>
      </w:r>
      <w:r>
        <w:t>las</w:t>
      </w:r>
      <w:r w:rsidRPr="00FD2835">
        <w:t xml:space="preserve"> construyen las personas y </w:t>
      </w:r>
      <w:r>
        <w:t xml:space="preserve">Fenaomfra es un ejemplo de esto”. </w:t>
      </w:r>
      <w:r w:rsidR="000E3309">
        <w:t>A su vez,</w:t>
      </w:r>
      <w:r>
        <w:t xml:space="preserve"> el presidente, Carlos </w:t>
      </w:r>
      <w:proofErr w:type="spellStart"/>
      <w:r>
        <w:t>Otrino</w:t>
      </w:r>
      <w:proofErr w:type="spellEnd"/>
      <w:r w:rsidR="000E3309">
        <w:t>,</w:t>
      </w:r>
      <w:r>
        <w:t xml:space="preserve"> agregó: “</w:t>
      </w:r>
      <w:r w:rsidRPr="00FD2835">
        <w:t>Nos sentimos muy acompañados y contentos. Muchísimas gracias por este reconocimiento. Mas allá de las lágrimas, este es un momento de celebración para todos”</w:t>
      </w:r>
      <w:r w:rsidR="000E3309">
        <w:t>.</w:t>
      </w:r>
    </w:p>
    <w:p w14:paraId="3DA149A3" w14:textId="335545E2" w:rsidR="00BD750D" w:rsidRDefault="004E5F04" w:rsidP="00363BC5">
      <w:r>
        <w:t xml:space="preserve">Por otra parte, los especialistas en economía Mariano </w:t>
      </w:r>
      <w:proofErr w:type="spellStart"/>
      <w:r>
        <w:t>Lechardoy</w:t>
      </w:r>
      <w:proofErr w:type="spellEnd"/>
      <w:r w:rsidR="003F42C9">
        <w:t xml:space="preserve"> </w:t>
      </w:r>
      <w:r>
        <w:t>y Sergio Molina presentaron un informe sobre la cadena comercial de la Manzana. En el mismo expusieron el estado actual del sector y</w:t>
      </w:r>
      <w:r w:rsidR="00897A59">
        <w:t xml:space="preserve"> </w:t>
      </w:r>
      <w:r>
        <w:t xml:space="preserve">la variación de precios que se evidenció sobre el producto en los últimos años. </w:t>
      </w:r>
      <w:r w:rsidR="00897A59">
        <w:t>Además,</w:t>
      </w:r>
      <w:r>
        <w:t xml:space="preserve"> consideraron que estos datos servirán a la Federación a la hora de difundir información clara </w:t>
      </w:r>
      <w:r w:rsidR="00831C6A">
        <w:t>y prever</w:t>
      </w:r>
      <w:r w:rsidR="00897A59">
        <w:t xml:space="preserve"> posibles escenarios para las próximas campañas frutihortícolas.</w:t>
      </w:r>
    </w:p>
    <w:p w14:paraId="6CCDB0B7" w14:textId="36EF0159" w:rsidR="00BD750D" w:rsidRDefault="00897A59" w:rsidP="00363BC5">
      <w:r>
        <w:t>Durante la reunión además se presentaron las diplomaturas para operadores y dirigentes de mercados que lanzó la Federación</w:t>
      </w:r>
      <w:r w:rsidR="00831C6A">
        <w:t xml:space="preserve"> hace pocos días.</w:t>
      </w:r>
      <w:r>
        <w:t xml:space="preserve"> Las mismas se llevarán a cabo en septiembre de 2021, se harán de forma virtual y tendrán una duración de un año. El objetivo es incentivar a que nuevos actores se sumen a los mercados mayoristas de todo el país. </w:t>
      </w:r>
    </w:p>
    <w:p w14:paraId="64B798D4" w14:textId="057CD4C5" w:rsidR="00897A59" w:rsidRDefault="00897A59" w:rsidP="00363BC5">
      <w:r>
        <w:t xml:space="preserve">Llegando al final del encuentro, cada representante de los mercados hizo un repaso por su actualidad. Brindaron un pantallazo sobre el contexto </w:t>
      </w:r>
      <w:r w:rsidR="00831C6A">
        <w:t>económico</w:t>
      </w:r>
      <w:r>
        <w:t xml:space="preserve"> actual, las implicancias en la comercialización y la situación institucional de cada mayorista.</w:t>
      </w:r>
    </w:p>
    <w:p w14:paraId="24A5EED6" w14:textId="54213F20" w:rsidR="00783057" w:rsidRDefault="00897A59" w:rsidP="00363BC5">
      <w:r>
        <w:t>De cara al futuro</w:t>
      </w:r>
      <w:r w:rsidR="00831C6A">
        <w:t>,</w:t>
      </w:r>
      <w:r>
        <w:t xml:space="preserve"> la Federación se encuentra trabajando en varios proyectos. Entre ellos, un ciclo de capacitaciones sobre Buenas Prácticas Agrícolas que se organizará junto a </w:t>
      </w:r>
      <w:r w:rsidR="00783057">
        <w:t xml:space="preserve">la </w:t>
      </w:r>
      <w:r w:rsidR="00783057" w:rsidRPr="00783057">
        <w:t xml:space="preserve">Federación Argentina de la </w:t>
      </w:r>
      <w:proofErr w:type="spellStart"/>
      <w:r w:rsidR="00783057" w:rsidRPr="00783057">
        <w:t>Ingerniería</w:t>
      </w:r>
      <w:proofErr w:type="spellEnd"/>
      <w:r w:rsidR="00783057" w:rsidRPr="00783057">
        <w:t xml:space="preserve"> </w:t>
      </w:r>
      <w:r w:rsidR="003F42C9" w:rsidRPr="00783057">
        <w:t>Agr</w:t>
      </w:r>
      <w:r w:rsidR="003F42C9">
        <w:t>o</w:t>
      </w:r>
      <w:r w:rsidR="003F42C9" w:rsidRPr="00783057">
        <w:t>nómica</w:t>
      </w:r>
      <w:r w:rsidR="00783057" w:rsidRPr="00783057">
        <w:t xml:space="preserve"> (FADIA)</w:t>
      </w:r>
      <w:r w:rsidR="00783057">
        <w:t xml:space="preserve"> y la incorporación de nuevas herramientas en los mercados argentinos para que los operadores puedan</w:t>
      </w:r>
      <w:r w:rsidR="00831C6A">
        <w:t xml:space="preserve"> sumar a sus puestos </w:t>
      </w:r>
      <w:r w:rsidR="00783057">
        <w:t>el pago</w:t>
      </w:r>
      <w:r w:rsidR="00831C6A">
        <w:t xml:space="preserve"> y cobro</w:t>
      </w:r>
      <w:r w:rsidR="00783057">
        <w:t xml:space="preserve"> electrónico</w:t>
      </w:r>
      <w:r w:rsidR="00831C6A">
        <w:t>.</w:t>
      </w:r>
    </w:p>
    <w:p w14:paraId="4DD19E20" w14:textId="2CEAD926" w:rsidR="00363BC5" w:rsidRDefault="00363BC5" w:rsidP="00363BC5">
      <w:r>
        <w:t>¡Seguimos trabajando en conjunto con los mercados argentinos para el desarrollo y el fortalecimiento del sector!</w:t>
      </w:r>
    </w:p>
    <w:p w14:paraId="3373E802" w14:textId="71933056" w:rsidR="00CE4B6B" w:rsidRDefault="00834B7E" w:rsidP="00834B7E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A1127DF" wp14:editId="1E31A4FD">
            <wp:extent cx="6294120" cy="354584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562BB828" wp14:editId="62D1B78A">
            <wp:extent cx="5715000" cy="3219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lastRenderedPageBreak/>
        <w:drawing>
          <wp:inline distT="0" distB="0" distL="0" distR="0" wp14:anchorId="5CFE3035" wp14:editId="227B0CA4">
            <wp:extent cx="5715000" cy="32194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69E21A5A" wp14:editId="65A0AB72">
            <wp:extent cx="5715000" cy="3219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lastRenderedPageBreak/>
        <w:drawing>
          <wp:inline distT="0" distB="0" distL="0" distR="0" wp14:anchorId="1921A688" wp14:editId="5FDE1346">
            <wp:extent cx="5715000" cy="3219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14D9E2AE" wp14:editId="65963C9E">
            <wp:extent cx="5715000" cy="3219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lastRenderedPageBreak/>
        <w:drawing>
          <wp:inline distT="0" distB="0" distL="0" distR="0" wp14:anchorId="1550ABBC" wp14:editId="4FA07195">
            <wp:extent cx="5715000" cy="32194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</w:rPr>
        <w:drawing>
          <wp:inline distT="0" distB="0" distL="0" distR="0" wp14:anchorId="705446A6" wp14:editId="59324874">
            <wp:extent cx="5715000" cy="3219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D5B83" w14:textId="77777777" w:rsidR="00AC55E2" w:rsidRDefault="00AC55E2" w:rsidP="00AC55E2">
      <w:pPr>
        <w:spacing w:after="135"/>
        <w:rPr>
          <w:rFonts w:asciiTheme="majorHAnsi" w:eastAsia="Quattrocento Sans" w:hAnsiTheme="majorHAnsi" w:cstheme="majorHAnsi"/>
          <w:color w:val="333333"/>
          <w:sz w:val="20"/>
          <w:szCs w:val="20"/>
        </w:rPr>
      </w:pPr>
    </w:p>
    <w:p w14:paraId="20B2F853" w14:textId="77777777" w:rsidR="00AC55E2" w:rsidRPr="00613CAE" w:rsidRDefault="00AC55E2" w:rsidP="00E37253">
      <w:pPr>
        <w:spacing w:after="135"/>
        <w:jc w:val="right"/>
        <w:rPr>
          <w:rFonts w:asciiTheme="majorHAnsi" w:eastAsia="Quattrocento Sans" w:hAnsiTheme="majorHAnsi" w:cstheme="majorHAnsi"/>
          <w:color w:val="333333"/>
          <w:sz w:val="20"/>
          <w:szCs w:val="20"/>
        </w:rPr>
      </w:pPr>
    </w:p>
    <w:sectPr w:rsidR="00AC55E2" w:rsidRPr="00613CAE" w:rsidSect="00CE4B6B">
      <w:headerReference w:type="default" r:id="rId15"/>
      <w:footerReference w:type="default" r:id="rId16"/>
      <w:pgSz w:w="11906" w:h="16838"/>
      <w:pgMar w:top="2977" w:right="1274" w:bottom="1135" w:left="72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C398" w14:textId="77777777" w:rsidR="0061111E" w:rsidRDefault="0061111E">
      <w:pPr>
        <w:spacing w:after="0" w:line="240" w:lineRule="auto"/>
      </w:pPr>
      <w:r>
        <w:separator/>
      </w:r>
    </w:p>
  </w:endnote>
  <w:endnote w:type="continuationSeparator" w:id="0">
    <w:p w14:paraId="40AEF6C6" w14:textId="77777777" w:rsidR="0061111E" w:rsidRDefault="0061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60E1" w14:textId="129D5F2E" w:rsidR="00CB03A9" w:rsidRDefault="00CB03A9" w:rsidP="006402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bCs/>
        <w:noProof/>
        <w:color w:val="00B050"/>
      </w:rPr>
    </w:pPr>
  </w:p>
  <w:p w14:paraId="0DB38594" w14:textId="6E595027" w:rsidR="00A65666" w:rsidRPr="006402CE" w:rsidRDefault="006517EB" w:rsidP="006402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bCs/>
        <w:color w:val="000000"/>
      </w:rPr>
    </w:pPr>
    <w:r w:rsidRPr="006402CE">
      <w:rPr>
        <w:b/>
        <w:bCs/>
        <w:noProof/>
      </w:rPr>
      <w:drawing>
        <wp:anchor distT="0" distB="0" distL="114300" distR="114300" simplePos="0" relativeHeight="251662336" behindDoc="0" locked="0" layoutInCell="1" hidden="0" allowOverlap="1" wp14:anchorId="203F8387" wp14:editId="51059960">
          <wp:simplePos x="0" y="0"/>
          <wp:positionH relativeFrom="column">
            <wp:posOffset>1230630</wp:posOffset>
          </wp:positionH>
          <wp:positionV relativeFrom="paragraph">
            <wp:posOffset>205740</wp:posOffset>
          </wp:positionV>
          <wp:extent cx="572161" cy="400269"/>
          <wp:effectExtent l="0" t="0" r="0" b="0"/>
          <wp:wrapNone/>
          <wp:docPr id="372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1"/>
                  <a:srcRect l="28857" t="27351" r="31334" b="44798"/>
                  <a:stretch>
                    <a:fillRect/>
                  </a:stretch>
                </pic:blipFill>
                <pic:spPr>
                  <a:xfrm>
                    <a:off x="0" y="0"/>
                    <a:ext cx="572161" cy="4002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402CE">
      <w:rPr>
        <w:b/>
        <w:bCs/>
        <w:noProof/>
      </w:rPr>
      <w:drawing>
        <wp:anchor distT="0" distB="0" distL="114300" distR="114300" simplePos="0" relativeHeight="251663360" behindDoc="0" locked="0" layoutInCell="1" hidden="0" allowOverlap="1" wp14:anchorId="4D8CD625" wp14:editId="08CDC298">
          <wp:simplePos x="0" y="0"/>
          <wp:positionH relativeFrom="column">
            <wp:posOffset>5064369</wp:posOffset>
          </wp:positionH>
          <wp:positionV relativeFrom="paragraph">
            <wp:posOffset>-179199</wp:posOffset>
          </wp:positionV>
          <wp:extent cx="3420207" cy="3420207"/>
          <wp:effectExtent l="0" t="0" r="0" b="0"/>
          <wp:wrapNone/>
          <wp:docPr id="373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402CE">
      <w:rPr>
        <w:b/>
        <w:bCs/>
        <w:noProof/>
      </w:rPr>
      <w:drawing>
        <wp:anchor distT="0" distB="0" distL="114300" distR="114300" simplePos="0" relativeHeight="251664384" behindDoc="0" locked="0" layoutInCell="1" hidden="0" allowOverlap="1" wp14:anchorId="32EBF79D" wp14:editId="21871A74">
          <wp:simplePos x="0" y="0"/>
          <wp:positionH relativeFrom="column">
            <wp:posOffset>-2602519</wp:posOffset>
          </wp:positionH>
          <wp:positionV relativeFrom="paragraph">
            <wp:posOffset>-259584</wp:posOffset>
          </wp:positionV>
          <wp:extent cx="3420207" cy="3420207"/>
          <wp:effectExtent l="0" t="0" r="0" b="0"/>
          <wp:wrapNone/>
          <wp:docPr id="374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182FB2" w14:textId="518F7E86" w:rsidR="00A65666" w:rsidRDefault="00F95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t xml:space="preserve">      </w:t>
    </w:r>
    <w:r w:rsidR="00EF067A">
      <w:t xml:space="preserve">        </w:t>
    </w:r>
    <w:r>
      <w:t xml:space="preserve"> </w:t>
    </w:r>
    <w:hyperlink r:id="rId3">
      <w:r w:rsidR="006517EB">
        <w:rPr>
          <w:color w:val="000000"/>
        </w:rPr>
        <w:t>www.FENAOMFRA.org.ar</w:t>
      </w:r>
    </w:hyperlink>
    <w:r w:rsidR="006517EB">
      <w:rPr>
        <w:color w:val="000000"/>
      </w:rPr>
      <w:t xml:space="preserve"> - info@fenaomfra.org.ar</w:t>
    </w:r>
    <w:r>
      <w:rPr>
        <w:color w:val="00000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CD41" w14:textId="77777777" w:rsidR="0061111E" w:rsidRDefault="0061111E">
      <w:pPr>
        <w:spacing w:after="0" w:line="240" w:lineRule="auto"/>
      </w:pPr>
      <w:r>
        <w:separator/>
      </w:r>
    </w:p>
  </w:footnote>
  <w:footnote w:type="continuationSeparator" w:id="0">
    <w:p w14:paraId="69071384" w14:textId="77777777" w:rsidR="0061111E" w:rsidRDefault="00611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D59D" w14:textId="49B02618" w:rsidR="00A65666" w:rsidRDefault="006517EB">
    <w:pPr>
      <w:spacing w:after="0" w:line="240" w:lineRule="auto"/>
      <w:ind w:left="5529"/>
      <w:jc w:val="center"/>
      <w:rPr>
        <w:rFonts w:ascii="Arial" w:eastAsia="Arial" w:hAnsi="Arial" w:cs="Arial"/>
        <w:color w:val="666666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5DDFFEB" wp14:editId="23047862">
          <wp:simplePos x="0" y="0"/>
          <wp:positionH relativeFrom="column">
            <wp:posOffset>-2593531</wp:posOffset>
          </wp:positionH>
          <wp:positionV relativeFrom="paragraph">
            <wp:posOffset>-1318598</wp:posOffset>
          </wp:positionV>
          <wp:extent cx="3420207" cy="3420207"/>
          <wp:effectExtent l="0" t="0" r="0" b="0"/>
          <wp:wrapNone/>
          <wp:docPr id="368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E371D96" wp14:editId="4376CB0C">
          <wp:simplePos x="0" y="0"/>
          <wp:positionH relativeFrom="column">
            <wp:posOffset>5006340</wp:posOffset>
          </wp:positionH>
          <wp:positionV relativeFrom="paragraph">
            <wp:posOffset>-1205226</wp:posOffset>
          </wp:positionV>
          <wp:extent cx="3420207" cy="3420207"/>
          <wp:effectExtent l="0" t="0" r="0" b="0"/>
          <wp:wrapNone/>
          <wp:docPr id="369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91BC8E" w14:textId="5B1CE485" w:rsidR="00A65666" w:rsidRDefault="00A65666">
    <w:pPr>
      <w:spacing w:after="0" w:line="240" w:lineRule="auto"/>
      <w:ind w:left="5529"/>
      <w:jc w:val="center"/>
      <w:rPr>
        <w:rFonts w:ascii="Poppins" w:eastAsia="Poppins" w:hAnsi="Poppins" w:cs="Poppins"/>
        <w:b/>
        <w:sz w:val="20"/>
        <w:szCs w:val="20"/>
      </w:rPr>
    </w:pPr>
  </w:p>
  <w:p w14:paraId="01FB693C" w14:textId="71049234" w:rsidR="00A65666" w:rsidRDefault="00A65666">
    <w:pPr>
      <w:spacing w:after="0" w:line="240" w:lineRule="auto"/>
      <w:ind w:left="5529"/>
      <w:jc w:val="center"/>
      <w:rPr>
        <w:rFonts w:ascii="Poppins" w:eastAsia="Poppins" w:hAnsi="Poppins" w:cs="Poppins"/>
        <w:b/>
        <w:sz w:val="20"/>
        <w:szCs w:val="20"/>
      </w:rPr>
    </w:pPr>
  </w:p>
  <w:p w14:paraId="2500C784" w14:textId="3023CE76" w:rsidR="00A65666" w:rsidRDefault="00F95D22">
    <w:pPr>
      <w:spacing w:after="0" w:line="240" w:lineRule="auto"/>
      <w:ind w:left="5529"/>
      <w:jc w:val="center"/>
      <w:rPr>
        <w:rFonts w:ascii="Poppins" w:eastAsia="Poppins" w:hAnsi="Poppins" w:cs="Poppins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F58771B" wp14:editId="016D886F">
          <wp:simplePos x="0" y="0"/>
          <wp:positionH relativeFrom="column">
            <wp:posOffset>1120140</wp:posOffset>
          </wp:positionH>
          <wp:positionV relativeFrom="paragraph">
            <wp:posOffset>38735</wp:posOffset>
          </wp:positionV>
          <wp:extent cx="1798320" cy="845820"/>
          <wp:effectExtent l="0" t="0" r="0" b="0"/>
          <wp:wrapNone/>
          <wp:docPr id="370" name="image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png"/>
                  <pic:cNvPicPr preferRelativeResize="0"/>
                </pic:nvPicPr>
                <pic:blipFill>
                  <a:blip r:embed="rId2"/>
                  <a:srcRect t="23784" b="29167"/>
                  <a:stretch>
                    <a:fillRect/>
                  </a:stretch>
                </pic:blipFill>
                <pic:spPr>
                  <a:xfrm>
                    <a:off x="0" y="0"/>
                    <a:ext cx="179832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4A1FFA9" wp14:editId="7DF6CD00">
              <wp:simplePos x="0" y="0"/>
              <wp:positionH relativeFrom="column">
                <wp:posOffset>3429000</wp:posOffset>
              </wp:positionH>
              <wp:positionV relativeFrom="paragraph">
                <wp:posOffset>114299</wp:posOffset>
              </wp:positionV>
              <wp:extent cx="4445" cy="1152525"/>
              <wp:effectExtent l="0" t="0" r="33655" b="28575"/>
              <wp:wrapNone/>
              <wp:docPr id="320" name="Conector recto 3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45" cy="1152525"/>
                      </a:xfrm>
                      <a:prstGeom prst="line">
                        <a:avLst/>
                      </a:prstGeom>
                      <a:ln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AA04D2" id="Conector recto 3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9pt" to="270.3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" strokecolor="#060"/>
          </w:pict>
        </mc:Fallback>
      </mc:AlternateContent>
    </w:r>
  </w:p>
  <w:p w14:paraId="29F2C695" w14:textId="306DCE57" w:rsidR="00A65666" w:rsidRDefault="00F95D22">
    <w:pPr>
      <w:spacing w:after="0" w:line="240" w:lineRule="auto"/>
      <w:ind w:left="5529"/>
      <w:jc w:val="center"/>
      <w:rPr>
        <w:rFonts w:ascii="Poppins" w:eastAsia="Poppins" w:hAnsi="Poppins" w:cs="Poppins"/>
        <w:b/>
        <w:sz w:val="20"/>
        <w:szCs w:val="20"/>
      </w:rPr>
    </w:pPr>
    <w:r>
      <w:rPr>
        <w:b/>
        <w:bCs/>
        <w:noProof/>
        <w:color w:val="00B050"/>
      </w:rPr>
      <w:drawing>
        <wp:anchor distT="0" distB="0" distL="114300" distR="114300" simplePos="0" relativeHeight="251670528" behindDoc="1" locked="0" layoutInCell="1" allowOverlap="1" wp14:anchorId="2DEDB87B" wp14:editId="52814B2C">
          <wp:simplePos x="0" y="0"/>
          <wp:positionH relativeFrom="column">
            <wp:posOffset>3886200</wp:posOffset>
          </wp:positionH>
          <wp:positionV relativeFrom="paragraph">
            <wp:posOffset>6350</wp:posOffset>
          </wp:positionV>
          <wp:extent cx="1047750" cy="1047750"/>
          <wp:effectExtent l="0" t="0" r="9525" b="9525"/>
          <wp:wrapSquare wrapText="bothSides"/>
          <wp:docPr id="371" name="Imagen 3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B91260" w14:textId="2937378C" w:rsidR="00A65666" w:rsidRDefault="00A65666">
    <w:pPr>
      <w:spacing w:after="0" w:line="240" w:lineRule="auto"/>
      <w:ind w:left="5529"/>
      <w:jc w:val="center"/>
      <w:rPr>
        <w:rFonts w:ascii="Poppins" w:eastAsia="Poppins" w:hAnsi="Poppins" w:cs="Poppins"/>
        <w:b/>
        <w:sz w:val="18"/>
        <w:szCs w:val="18"/>
      </w:rPr>
    </w:pPr>
  </w:p>
  <w:p w14:paraId="1402DB53" w14:textId="46816622" w:rsidR="00A65666" w:rsidRDefault="00A65666">
    <w:pPr>
      <w:spacing w:after="0" w:line="240" w:lineRule="auto"/>
      <w:ind w:left="5529"/>
      <w:jc w:val="center"/>
      <w:rPr>
        <w:rFonts w:ascii="Poppins" w:eastAsia="Poppins" w:hAnsi="Poppins" w:cs="Poppins"/>
        <w:b/>
        <w:sz w:val="18"/>
        <w:szCs w:val="18"/>
      </w:rPr>
    </w:pPr>
  </w:p>
  <w:p w14:paraId="4CA4A896" w14:textId="465AD10C" w:rsidR="00A65666" w:rsidRDefault="00F95D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Poppins" w:eastAsia="Poppins" w:hAnsi="Poppins" w:cs="Poppins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8BC84C9" wp14:editId="62837095">
              <wp:simplePos x="0" y="0"/>
              <wp:positionH relativeFrom="margin">
                <wp:posOffset>868045</wp:posOffset>
              </wp:positionH>
              <wp:positionV relativeFrom="paragraph">
                <wp:posOffset>195580</wp:posOffset>
              </wp:positionV>
              <wp:extent cx="2305050" cy="629285"/>
              <wp:effectExtent l="0" t="0" r="0" b="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50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CA369A" w14:textId="77777777" w:rsidR="00F95D22" w:rsidRDefault="006517EB" w:rsidP="00F95D2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rFonts w:ascii="Tahoma" w:eastAsia="Tahoma" w:hAnsi="Tahoma" w:cs="Tahoma"/>
                              <w:b/>
                              <w:color w:val="404040"/>
                              <w:sz w:val="16"/>
                              <w:szCs w:val="20"/>
                            </w:rPr>
                          </w:pPr>
                          <w:r w:rsidRPr="00F95D22">
                            <w:rPr>
                              <w:rFonts w:ascii="Tahoma" w:eastAsia="Tahoma" w:hAnsi="Tahoma" w:cs="Tahoma"/>
                              <w:b/>
                              <w:color w:val="404040"/>
                              <w:sz w:val="16"/>
                              <w:szCs w:val="20"/>
                            </w:rPr>
                            <w:t>Federación Nacional de</w:t>
                          </w:r>
                        </w:p>
                        <w:p w14:paraId="08E735C9" w14:textId="1824A492" w:rsidR="00A65666" w:rsidRPr="00F95D22" w:rsidRDefault="006517EB" w:rsidP="00F95D2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F95D22">
                            <w:rPr>
                              <w:rFonts w:ascii="Tahoma" w:eastAsia="Tahoma" w:hAnsi="Tahoma" w:cs="Tahoma"/>
                              <w:b/>
                              <w:color w:val="404040"/>
                              <w:sz w:val="16"/>
                              <w:szCs w:val="20"/>
                            </w:rPr>
                            <w:t>Operadores de</w:t>
                          </w:r>
                          <w:r w:rsidR="00F95D22" w:rsidRPr="00F95D22">
                            <w:rPr>
                              <w:rFonts w:ascii="Tahoma" w:eastAsia="Tahoma" w:hAnsi="Tahoma" w:cs="Tahoma"/>
                              <w:b/>
                              <w:color w:val="40404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F95D22">
                            <w:rPr>
                              <w:rFonts w:ascii="Tahoma" w:eastAsia="Tahoma" w:hAnsi="Tahoma" w:cs="Tahoma"/>
                              <w:b/>
                              <w:color w:val="404040"/>
                              <w:sz w:val="16"/>
                              <w:szCs w:val="20"/>
                            </w:rPr>
                            <w:t>Mercados Frutihortícolas de la</w:t>
                          </w:r>
                          <w:r w:rsidR="00672D47" w:rsidRPr="00F95D22">
                            <w:rPr>
                              <w:rFonts w:ascii="Tahoma" w:eastAsia="Tahoma" w:hAnsi="Tahoma" w:cs="Tahoma"/>
                              <w:b/>
                              <w:color w:val="40404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F95D22">
                            <w:rPr>
                              <w:rFonts w:ascii="Tahoma" w:eastAsia="Tahoma" w:hAnsi="Tahoma" w:cs="Tahoma"/>
                              <w:b/>
                              <w:color w:val="404040"/>
                              <w:sz w:val="16"/>
                              <w:szCs w:val="20"/>
                            </w:rPr>
                            <w:t>República Argentina</w:t>
                          </w:r>
                        </w:p>
                        <w:p w14:paraId="2907099B" w14:textId="77777777" w:rsidR="00A65666" w:rsidRPr="00F95D22" w:rsidRDefault="00A65666" w:rsidP="00672D47">
                          <w:pPr>
                            <w:spacing w:line="275" w:lineRule="auto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BC84C9" id="Rectángulo 35" o:spid="_x0000_s1026" style="position:absolute;margin-left:68.35pt;margin-top:15.4pt;width:181.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" filled="f" stroked="f">
              <v:textbox inset="2.53958mm,1.2694mm,2.53958mm,1.2694mm">
                <w:txbxContent>
                  <w:p w14:paraId="50CA369A" w14:textId="77777777" w:rsidR="00F95D22" w:rsidRDefault="006517EB" w:rsidP="00F95D22">
                    <w:pPr>
                      <w:spacing w:after="0" w:line="240" w:lineRule="auto"/>
                      <w:jc w:val="center"/>
                      <w:textDirection w:val="btLr"/>
                      <w:rPr>
                        <w:rFonts w:ascii="Tahoma" w:eastAsia="Tahoma" w:hAnsi="Tahoma" w:cs="Tahoma"/>
                        <w:b/>
                        <w:color w:val="404040"/>
                        <w:sz w:val="16"/>
                        <w:szCs w:val="20"/>
                      </w:rPr>
                    </w:pPr>
                    <w:r w:rsidRPr="00F95D22">
                      <w:rPr>
                        <w:rFonts w:ascii="Tahoma" w:eastAsia="Tahoma" w:hAnsi="Tahoma" w:cs="Tahoma"/>
                        <w:b/>
                        <w:color w:val="404040"/>
                        <w:sz w:val="16"/>
                        <w:szCs w:val="20"/>
                      </w:rPr>
                      <w:t>Federación Nacional de</w:t>
                    </w:r>
                  </w:p>
                  <w:p w14:paraId="08E735C9" w14:textId="1824A492" w:rsidR="00A65666" w:rsidRPr="00F95D22" w:rsidRDefault="006517EB" w:rsidP="00F95D22">
                    <w:pPr>
                      <w:spacing w:after="0" w:line="240" w:lineRule="auto"/>
                      <w:jc w:val="center"/>
                      <w:textDirection w:val="btLr"/>
                      <w:rPr>
                        <w:sz w:val="20"/>
                        <w:szCs w:val="20"/>
                      </w:rPr>
                    </w:pPr>
                    <w:r w:rsidRPr="00F95D22">
                      <w:rPr>
                        <w:rFonts w:ascii="Tahoma" w:eastAsia="Tahoma" w:hAnsi="Tahoma" w:cs="Tahoma"/>
                        <w:b/>
                        <w:color w:val="404040"/>
                        <w:sz w:val="16"/>
                        <w:szCs w:val="20"/>
                      </w:rPr>
                      <w:t>Operadores de</w:t>
                    </w:r>
                    <w:r w:rsidR="00F95D22" w:rsidRPr="00F95D22">
                      <w:rPr>
                        <w:rFonts w:ascii="Tahoma" w:eastAsia="Tahoma" w:hAnsi="Tahoma" w:cs="Tahoma"/>
                        <w:b/>
                        <w:color w:val="404040"/>
                        <w:sz w:val="16"/>
                        <w:szCs w:val="20"/>
                      </w:rPr>
                      <w:t xml:space="preserve"> </w:t>
                    </w:r>
                    <w:r w:rsidRPr="00F95D22">
                      <w:rPr>
                        <w:rFonts w:ascii="Tahoma" w:eastAsia="Tahoma" w:hAnsi="Tahoma" w:cs="Tahoma"/>
                        <w:b/>
                        <w:color w:val="404040"/>
                        <w:sz w:val="16"/>
                        <w:szCs w:val="20"/>
                      </w:rPr>
                      <w:t>Mercados Frutihortícolas de la</w:t>
                    </w:r>
                    <w:r w:rsidR="00672D47" w:rsidRPr="00F95D22">
                      <w:rPr>
                        <w:rFonts w:ascii="Tahoma" w:eastAsia="Tahoma" w:hAnsi="Tahoma" w:cs="Tahoma"/>
                        <w:b/>
                        <w:color w:val="404040"/>
                        <w:sz w:val="16"/>
                        <w:szCs w:val="20"/>
                      </w:rPr>
                      <w:t xml:space="preserve"> </w:t>
                    </w:r>
                    <w:r w:rsidRPr="00F95D22">
                      <w:rPr>
                        <w:rFonts w:ascii="Tahoma" w:eastAsia="Tahoma" w:hAnsi="Tahoma" w:cs="Tahoma"/>
                        <w:b/>
                        <w:color w:val="404040"/>
                        <w:sz w:val="16"/>
                        <w:szCs w:val="20"/>
                      </w:rPr>
                      <w:t>República Argentina</w:t>
                    </w:r>
                  </w:p>
                  <w:p w14:paraId="2907099B" w14:textId="77777777" w:rsidR="00A65666" w:rsidRPr="00F95D22" w:rsidRDefault="00A65666" w:rsidP="00672D47">
                    <w:pPr>
                      <w:spacing w:line="275" w:lineRule="auto"/>
                      <w:textDirection w:val="btL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63E46D7D" w14:textId="77777777" w:rsidR="00A65666" w:rsidRDefault="00A656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Poppins" w:eastAsia="Poppins" w:hAnsi="Poppins" w:cs="Poppins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66"/>
    <w:rsid w:val="00053CCE"/>
    <w:rsid w:val="000C34E7"/>
    <w:rsid w:val="000C770B"/>
    <w:rsid w:val="000E3309"/>
    <w:rsid w:val="00111287"/>
    <w:rsid w:val="00240539"/>
    <w:rsid w:val="002F3E99"/>
    <w:rsid w:val="00336590"/>
    <w:rsid w:val="00363BC5"/>
    <w:rsid w:val="003F42C9"/>
    <w:rsid w:val="004439DE"/>
    <w:rsid w:val="004E5F04"/>
    <w:rsid w:val="0059186E"/>
    <w:rsid w:val="005C56B7"/>
    <w:rsid w:val="0061111E"/>
    <w:rsid w:val="00613CAE"/>
    <w:rsid w:val="0062547C"/>
    <w:rsid w:val="006402CE"/>
    <w:rsid w:val="006517EB"/>
    <w:rsid w:val="00672D47"/>
    <w:rsid w:val="006C1418"/>
    <w:rsid w:val="00783057"/>
    <w:rsid w:val="007F4990"/>
    <w:rsid w:val="00831C6A"/>
    <w:rsid w:val="00834B7E"/>
    <w:rsid w:val="00897A59"/>
    <w:rsid w:val="0099720F"/>
    <w:rsid w:val="00A65666"/>
    <w:rsid w:val="00AC55E2"/>
    <w:rsid w:val="00B56EBF"/>
    <w:rsid w:val="00B7352A"/>
    <w:rsid w:val="00BC064D"/>
    <w:rsid w:val="00BD750D"/>
    <w:rsid w:val="00C202E0"/>
    <w:rsid w:val="00CB03A9"/>
    <w:rsid w:val="00CE4B6B"/>
    <w:rsid w:val="00D32EA0"/>
    <w:rsid w:val="00D422D9"/>
    <w:rsid w:val="00DE1BFF"/>
    <w:rsid w:val="00DE5374"/>
    <w:rsid w:val="00E37253"/>
    <w:rsid w:val="00EF067A"/>
    <w:rsid w:val="00F05C29"/>
    <w:rsid w:val="00F95D22"/>
    <w:rsid w:val="00FA7BB9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6445AD"/>
  <w15:docId w15:val="{392BF5A2-6386-478C-9A24-80EBF806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9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7891"/>
  </w:style>
  <w:style w:type="paragraph" w:styleId="Piedepgina">
    <w:name w:val="footer"/>
    <w:basedOn w:val="Normal"/>
    <w:link w:val="PiedepginaCar"/>
    <w:uiPriority w:val="99"/>
    <w:unhideWhenUsed/>
    <w:rsid w:val="00A97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91"/>
  </w:style>
  <w:style w:type="character" w:styleId="Hipervnculo">
    <w:name w:val="Hyperlink"/>
    <w:basedOn w:val="Fuentedeprrafopredeter"/>
    <w:uiPriority w:val="99"/>
    <w:unhideWhenUsed/>
    <w:rsid w:val="006402C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0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63980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naomfra.org.ar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kdWor/66flmosFB1ldc2T1/Cw==">AMUW2mXNnrQGEHJiN2gQVjWiFZ/xzZoiIB67Jlb34F+qTVxJX/I8JQnZ7OqvAnwmhA29cSNgeDxkrt6LAeI7SAqH1lX2ntgTFQtLvlA7CgyE8uKEa7kWa3wpXKDBw9Cn6XCle0YZ9fRt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EM5</dc:creator>
  <cp:lastModifiedBy>Mauricio Bonino</cp:lastModifiedBy>
  <cp:revision>2</cp:revision>
  <dcterms:created xsi:type="dcterms:W3CDTF">2021-08-30T14:45:00Z</dcterms:created>
  <dcterms:modified xsi:type="dcterms:W3CDTF">2021-08-30T14:45:00Z</dcterms:modified>
</cp:coreProperties>
</file>